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12310" w14:textId="77777777" w:rsidR="00DC0049" w:rsidRPr="00DC0049" w:rsidRDefault="00DC0049" w:rsidP="00DC0049">
      <w:pPr>
        <w:spacing w:before="161" w:after="161" w:line="240" w:lineRule="auto"/>
        <w:outlineLvl w:val="0"/>
        <w:rPr>
          <w:rFonts w:ascii="Open Sans" w:eastAsia="Times New Roman" w:hAnsi="Open Sans" w:cs="Times New Roman"/>
          <w:b/>
          <w:bCs/>
          <w:color w:val="222222"/>
          <w:kern w:val="36"/>
          <w:sz w:val="48"/>
          <w:szCs w:val="48"/>
          <w:lang w:val="en"/>
        </w:rPr>
      </w:pPr>
      <w:bookmarkStart w:id="0" w:name="_GoBack"/>
      <w:bookmarkEnd w:id="0"/>
      <w:r w:rsidRPr="00DC0049">
        <w:rPr>
          <w:rFonts w:ascii="Open Sans" w:eastAsia="Times New Roman" w:hAnsi="Open Sans" w:cs="Times New Roman"/>
          <w:b/>
          <w:bCs/>
          <w:color w:val="222222"/>
          <w:kern w:val="36"/>
          <w:sz w:val="48"/>
          <w:szCs w:val="48"/>
          <w:lang w:val="en"/>
        </w:rPr>
        <w:t>Advanced Septic System Nitrogen Sensor Challenge, Phase II: Prototype Testing</w:t>
      </w:r>
    </w:p>
    <w:p w14:paraId="45AAD289" w14:textId="204EAC86" w:rsidR="00DC0049" w:rsidRPr="00DC0049" w:rsidRDefault="00DC0049" w:rsidP="00DC0049">
      <w:pPr>
        <w:spacing w:after="0" w:line="240" w:lineRule="auto"/>
        <w:rPr>
          <w:rFonts w:ascii="Open Sans" w:eastAsia="Times New Roman" w:hAnsi="Open Sans" w:cs="Times New Roman"/>
          <w:color w:val="222222"/>
          <w:sz w:val="24"/>
          <w:szCs w:val="24"/>
          <w:lang w:val="en"/>
        </w:rPr>
      </w:pPr>
      <w:r w:rsidRPr="00DC0049">
        <w:rPr>
          <w:rFonts w:ascii="Open Sans" w:eastAsia="Times New Roman" w:hAnsi="Open Sans" w:cs="Times New Roman"/>
          <w:b/>
          <w:bCs/>
          <w:color w:val="222222"/>
          <w:sz w:val="24"/>
          <w:szCs w:val="24"/>
          <w:lang w:val="en"/>
        </w:rPr>
        <w:t>Q:</w:t>
      </w:r>
      <w:r w:rsidRPr="00DC0049">
        <w:rPr>
          <w:rFonts w:ascii="Open Sans" w:eastAsia="Times New Roman" w:hAnsi="Open Sans" w:cs="Times New Roman"/>
          <w:color w:val="222222"/>
          <w:sz w:val="24"/>
          <w:szCs w:val="24"/>
          <w:lang w:val="en"/>
        </w:rPr>
        <w:t xml:space="preserve"> Will sensor developers be able to send their sensor packages to Battelle or EPA for installation ahead of the preliminary screening test</w:t>
      </w:r>
      <w:r w:rsidR="00643BA5">
        <w:rPr>
          <w:rFonts w:ascii="Open Sans" w:eastAsia="Times New Roman" w:hAnsi="Open Sans" w:cs="Times New Roman"/>
          <w:color w:val="222222"/>
          <w:sz w:val="24"/>
          <w:szCs w:val="24"/>
          <w:lang w:val="en"/>
        </w:rPr>
        <w:t>s</w:t>
      </w:r>
      <w:r w:rsidRPr="00DC0049">
        <w:rPr>
          <w:rFonts w:ascii="Open Sans" w:eastAsia="Times New Roman" w:hAnsi="Open Sans" w:cs="Times New Roman"/>
          <w:color w:val="222222"/>
          <w:sz w:val="24"/>
          <w:szCs w:val="24"/>
          <w:lang w:val="en"/>
        </w:rPr>
        <w:t>?</w:t>
      </w:r>
    </w:p>
    <w:p w14:paraId="455BB4AD" w14:textId="77777777" w:rsidR="00DC0049" w:rsidRPr="00DC0049" w:rsidRDefault="00DC0049" w:rsidP="00DC0049">
      <w:pPr>
        <w:spacing w:after="0" w:line="240" w:lineRule="auto"/>
        <w:rPr>
          <w:rFonts w:ascii="Open Sans" w:eastAsia="Times New Roman" w:hAnsi="Open Sans" w:cs="Times New Roman"/>
          <w:color w:val="222222"/>
          <w:sz w:val="24"/>
          <w:szCs w:val="24"/>
          <w:lang w:val="en"/>
        </w:rPr>
      </w:pPr>
      <w:r w:rsidRPr="00DC0049">
        <w:rPr>
          <w:rFonts w:ascii="Open Sans" w:eastAsia="Times New Roman" w:hAnsi="Open Sans" w:cs="Times New Roman"/>
          <w:color w:val="222222"/>
          <w:sz w:val="24"/>
          <w:szCs w:val="24"/>
          <w:lang w:val="en"/>
        </w:rPr>
        <w:t> </w:t>
      </w:r>
    </w:p>
    <w:p w14:paraId="6A2F21B1" w14:textId="5B73C890" w:rsidR="00DC0049" w:rsidRPr="00DC0049" w:rsidRDefault="00DC0049" w:rsidP="00DC0049">
      <w:pPr>
        <w:spacing w:after="300" w:line="240" w:lineRule="auto"/>
        <w:rPr>
          <w:rFonts w:ascii="Open Sans" w:eastAsia="Times New Roman" w:hAnsi="Open Sans" w:cs="Times New Roman"/>
          <w:color w:val="222222"/>
          <w:sz w:val="24"/>
          <w:szCs w:val="24"/>
          <w:lang w:val="en"/>
        </w:rPr>
      </w:pPr>
      <w:r w:rsidRPr="00DC0049">
        <w:rPr>
          <w:rFonts w:ascii="Open Sans" w:eastAsia="Times New Roman" w:hAnsi="Open Sans" w:cs="Times New Roman"/>
          <w:b/>
          <w:bCs/>
          <w:color w:val="222222"/>
          <w:sz w:val="24"/>
          <w:szCs w:val="24"/>
          <w:lang w:val="en"/>
        </w:rPr>
        <w:t>A:</w:t>
      </w:r>
      <w:r w:rsidRPr="00DC0049">
        <w:rPr>
          <w:rFonts w:ascii="Open Sans" w:eastAsia="Times New Roman" w:hAnsi="Open Sans" w:cs="Times New Roman"/>
          <w:color w:val="222222"/>
          <w:sz w:val="24"/>
          <w:szCs w:val="24"/>
          <w:lang w:val="en"/>
        </w:rPr>
        <w:t xml:space="preserve"> No. Sensor developers will be required to install and setup their own sensor packages at the Massachusetts Advanced Septic System Testing Center (MASSTC), the Barnstable, MA testing facility. EPA, Battelle and MASSTC will be establishing specific date</w:t>
      </w:r>
      <w:r w:rsidR="00E13377">
        <w:rPr>
          <w:rFonts w:ascii="Open Sans" w:eastAsia="Times New Roman" w:hAnsi="Open Sans" w:cs="Times New Roman"/>
          <w:color w:val="222222"/>
          <w:sz w:val="24"/>
          <w:szCs w:val="24"/>
          <w:lang w:val="en"/>
        </w:rPr>
        <w:t>s</w:t>
      </w:r>
      <w:r w:rsidRPr="00DC0049">
        <w:rPr>
          <w:rFonts w:ascii="Open Sans" w:eastAsia="Times New Roman" w:hAnsi="Open Sans" w:cs="Times New Roman"/>
          <w:color w:val="222222"/>
          <w:sz w:val="24"/>
          <w:szCs w:val="24"/>
          <w:lang w:val="en"/>
        </w:rPr>
        <w:t xml:space="preserve"> for sensor setup period</w:t>
      </w:r>
      <w:r w:rsidR="00E13377">
        <w:rPr>
          <w:rFonts w:ascii="Open Sans" w:eastAsia="Times New Roman" w:hAnsi="Open Sans" w:cs="Times New Roman"/>
          <w:color w:val="222222"/>
          <w:sz w:val="24"/>
          <w:szCs w:val="24"/>
          <w:lang w:val="en"/>
        </w:rPr>
        <w:t>s for each preliminary screening test period</w:t>
      </w:r>
      <w:r w:rsidRPr="00DC0049">
        <w:rPr>
          <w:rFonts w:ascii="Open Sans" w:eastAsia="Times New Roman" w:hAnsi="Open Sans" w:cs="Times New Roman"/>
          <w:color w:val="222222"/>
          <w:sz w:val="24"/>
          <w:szCs w:val="24"/>
          <w:lang w:val="en"/>
        </w:rPr>
        <w:t>. Each team will be expected to deliver, install their sensor on</w:t>
      </w:r>
      <w:r w:rsidR="00E13377">
        <w:rPr>
          <w:rFonts w:ascii="Open Sans" w:eastAsia="Times New Roman" w:hAnsi="Open Sans" w:cs="Times New Roman"/>
          <w:color w:val="222222"/>
          <w:sz w:val="24"/>
          <w:szCs w:val="24"/>
          <w:lang w:val="en"/>
        </w:rPr>
        <w:t xml:space="preserve"> or in</w:t>
      </w:r>
      <w:r w:rsidRPr="00DC0049">
        <w:rPr>
          <w:rFonts w:ascii="Open Sans" w:eastAsia="Times New Roman" w:hAnsi="Open Sans" w:cs="Times New Roman"/>
          <w:color w:val="222222"/>
          <w:sz w:val="24"/>
          <w:szCs w:val="24"/>
          <w:lang w:val="en"/>
        </w:rPr>
        <w:t xml:space="preserve"> the test vessel, and calibrate their device during the setup period. EPA and MASSTC staff will be on hand to assist with logistics during the setup period, but will not be responsible for device set up, calibration or repair. The </w:t>
      </w:r>
      <w:r w:rsidR="00E13377">
        <w:rPr>
          <w:rFonts w:ascii="Open Sans" w:eastAsia="Times New Roman" w:hAnsi="Open Sans" w:cs="Times New Roman"/>
          <w:color w:val="222222"/>
          <w:sz w:val="24"/>
          <w:szCs w:val="24"/>
          <w:lang w:val="en"/>
        </w:rPr>
        <w:t>s</w:t>
      </w:r>
      <w:r w:rsidRPr="00DC0049">
        <w:rPr>
          <w:rFonts w:ascii="Open Sans" w:eastAsia="Times New Roman" w:hAnsi="Open Sans" w:cs="Times New Roman"/>
          <w:color w:val="222222"/>
          <w:sz w:val="24"/>
          <w:szCs w:val="24"/>
          <w:lang w:val="en"/>
        </w:rPr>
        <w:t xml:space="preserve">creening </w:t>
      </w:r>
      <w:r w:rsidR="00E13377">
        <w:rPr>
          <w:rFonts w:ascii="Open Sans" w:eastAsia="Times New Roman" w:hAnsi="Open Sans" w:cs="Times New Roman"/>
          <w:color w:val="222222"/>
          <w:sz w:val="24"/>
          <w:szCs w:val="24"/>
          <w:lang w:val="en"/>
        </w:rPr>
        <w:t>t</w:t>
      </w:r>
      <w:r w:rsidRPr="00DC0049">
        <w:rPr>
          <w:rFonts w:ascii="Open Sans" w:eastAsia="Times New Roman" w:hAnsi="Open Sans" w:cs="Times New Roman"/>
          <w:color w:val="222222"/>
          <w:sz w:val="24"/>
          <w:szCs w:val="24"/>
          <w:lang w:val="en"/>
        </w:rPr>
        <w:t xml:space="preserve">est will begin immediately following the </w:t>
      </w:r>
      <w:r w:rsidR="00E13377">
        <w:rPr>
          <w:rFonts w:ascii="Open Sans" w:eastAsia="Times New Roman" w:hAnsi="Open Sans" w:cs="Times New Roman"/>
          <w:color w:val="222222"/>
          <w:sz w:val="24"/>
          <w:szCs w:val="24"/>
          <w:lang w:val="en"/>
        </w:rPr>
        <w:t>s</w:t>
      </w:r>
      <w:r w:rsidRPr="00DC0049">
        <w:rPr>
          <w:rFonts w:ascii="Open Sans" w:eastAsia="Times New Roman" w:hAnsi="Open Sans" w:cs="Times New Roman"/>
          <w:color w:val="222222"/>
          <w:sz w:val="24"/>
          <w:szCs w:val="24"/>
          <w:lang w:val="en"/>
        </w:rPr>
        <w:t xml:space="preserve">etup </w:t>
      </w:r>
      <w:r w:rsidR="00E13377">
        <w:rPr>
          <w:rFonts w:ascii="Open Sans" w:eastAsia="Times New Roman" w:hAnsi="Open Sans" w:cs="Times New Roman"/>
          <w:color w:val="222222"/>
          <w:sz w:val="24"/>
          <w:szCs w:val="24"/>
          <w:lang w:val="en"/>
        </w:rPr>
        <w:t>p</w:t>
      </w:r>
      <w:r w:rsidRPr="00DC0049">
        <w:rPr>
          <w:rFonts w:ascii="Open Sans" w:eastAsia="Times New Roman" w:hAnsi="Open Sans" w:cs="Times New Roman"/>
          <w:color w:val="222222"/>
          <w:sz w:val="24"/>
          <w:szCs w:val="24"/>
          <w:lang w:val="en"/>
        </w:rPr>
        <w:t>eriod</w:t>
      </w:r>
      <w:r w:rsidR="00E13377">
        <w:rPr>
          <w:rFonts w:ascii="Open Sans" w:eastAsia="Times New Roman" w:hAnsi="Open Sans" w:cs="Times New Roman"/>
          <w:color w:val="222222"/>
          <w:sz w:val="24"/>
          <w:szCs w:val="24"/>
          <w:lang w:val="en"/>
        </w:rPr>
        <w:t xml:space="preserve"> at the designated date and time</w:t>
      </w:r>
      <w:r w:rsidRPr="00DC0049">
        <w:rPr>
          <w:rFonts w:ascii="Open Sans" w:eastAsia="Times New Roman" w:hAnsi="Open Sans" w:cs="Times New Roman"/>
          <w:color w:val="222222"/>
          <w:sz w:val="24"/>
          <w:szCs w:val="24"/>
          <w:lang w:val="en"/>
        </w:rPr>
        <w:t>.</w:t>
      </w:r>
      <w:r w:rsidRPr="00DC0049">
        <w:rPr>
          <w:rFonts w:ascii="Open Sans" w:eastAsia="Times New Roman" w:hAnsi="Open Sans" w:cs="Times New Roman"/>
          <w:color w:val="222222"/>
          <w:sz w:val="24"/>
          <w:szCs w:val="24"/>
          <w:lang w:val="en"/>
        </w:rPr>
        <w:br/>
        <w:t> </w:t>
      </w:r>
      <w:r w:rsidRPr="00DC0049">
        <w:rPr>
          <w:rFonts w:ascii="Open Sans" w:eastAsia="Times New Roman" w:hAnsi="Open Sans" w:cs="Times New Roman"/>
          <w:color w:val="222222"/>
          <w:sz w:val="24"/>
          <w:szCs w:val="24"/>
          <w:lang w:val="en"/>
        </w:rPr>
        <w:br/>
      </w:r>
      <w:r w:rsidRPr="00DC0049">
        <w:rPr>
          <w:rFonts w:ascii="Open Sans" w:eastAsia="Times New Roman" w:hAnsi="Open Sans" w:cs="Times New Roman"/>
          <w:b/>
          <w:bCs/>
          <w:color w:val="222222"/>
          <w:sz w:val="24"/>
          <w:szCs w:val="24"/>
          <w:lang w:val="en"/>
        </w:rPr>
        <w:t>Q:</w:t>
      </w:r>
      <w:r w:rsidRPr="00DC0049">
        <w:rPr>
          <w:rFonts w:ascii="Open Sans" w:eastAsia="Times New Roman" w:hAnsi="Open Sans" w:cs="Times New Roman"/>
          <w:color w:val="222222"/>
          <w:sz w:val="24"/>
          <w:szCs w:val="24"/>
          <w:lang w:val="en"/>
        </w:rPr>
        <w:t xml:space="preserve"> Will sensor developers who did not participate in Phase I </w:t>
      </w:r>
      <w:r w:rsidR="00E13377">
        <w:rPr>
          <w:rFonts w:ascii="Open Sans" w:eastAsia="Times New Roman" w:hAnsi="Open Sans" w:cs="Times New Roman"/>
          <w:color w:val="222222"/>
          <w:sz w:val="24"/>
          <w:szCs w:val="24"/>
          <w:lang w:val="en"/>
        </w:rPr>
        <w:t xml:space="preserve">or previous Phase II events </w:t>
      </w:r>
      <w:r w:rsidRPr="00DC0049">
        <w:rPr>
          <w:rFonts w:ascii="Open Sans" w:eastAsia="Times New Roman" w:hAnsi="Open Sans" w:cs="Times New Roman"/>
          <w:color w:val="222222"/>
          <w:sz w:val="24"/>
          <w:szCs w:val="24"/>
          <w:lang w:val="en"/>
        </w:rPr>
        <w:t xml:space="preserve">of the Advanced Septic System Nitrogen Sensor Challenge be eligible to participate in </w:t>
      </w:r>
      <w:r w:rsidR="00E13377">
        <w:rPr>
          <w:rFonts w:ascii="Open Sans" w:eastAsia="Times New Roman" w:hAnsi="Open Sans" w:cs="Times New Roman"/>
          <w:color w:val="222222"/>
          <w:sz w:val="24"/>
          <w:szCs w:val="24"/>
          <w:lang w:val="en"/>
        </w:rPr>
        <w:t xml:space="preserve">these rounds of </w:t>
      </w:r>
      <w:r w:rsidRPr="00DC0049">
        <w:rPr>
          <w:rFonts w:ascii="Open Sans" w:eastAsia="Times New Roman" w:hAnsi="Open Sans" w:cs="Times New Roman"/>
          <w:color w:val="222222"/>
          <w:sz w:val="24"/>
          <w:szCs w:val="24"/>
          <w:lang w:val="en"/>
        </w:rPr>
        <w:t xml:space="preserve">Phase II </w:t>
      </w:r>
      <w:r w:rsidR="00E13377">
        <w:rPr>
          <w:rFonts w:ascii="Open Sans" w:eastAsia="Times New Roman" w:hAnsi="Open Sans" w:cs="Times New Roman"/>
          <w:color w:val="222222"/>
          <w:sz w:val="24"/>
          <w:szCs w:val="24"/>
          <w:lang w:val="en"/>
        </w:rPr>
        <w:t>testing</w:t>
      </w:r>
      <w:r w:rsidRPr="00DC0049">
        <w:rPr>
          <w:rFonts w:ascii="Open Sans" w:eastAsia="Times New Roman" w:hAnsi="Open Sans" w:cs="Times New Roman"/>
          <w:color w:val="222222"/>
          <w:sz w:val="24"/>
          <w:szCs w:val="24"/>
          <w:lang w:val="en"/>
        </w:rPr>
        <w:t>?</w:t>
      </w:r>
    </w:p>
    <w:p w14:paraId="2D2C8321" w14:textId="4CD33AEB" w:rsidR="00DC0049" w:rsidRPr="00DC0049" w:rsidRDefault="00DC0049" w:rsidP="00DC0049">
      <w:pPr>
        <w:spacing w:after="300" w:line="240" w:lineRule="auto"/>
        <w:rPr>
          <w:rFonts w:ascii="Open Sans" w:eastAsia="Times New Roman" w:hAnsi="Open Sans" w:cs="Times New Roman"/>
          <w:color w:val="222222"/>
          <w:sz w:val="24"/>
          <w:szCs w:val="24"/>
          <w:lang w:val="en"/>
        </w:rPr>
      </w:pPr>
      <w:r w:rsidRPr="00DC0049">
        <w:rPr>
          <w:rFonts w:ascii="Open Sans" w:eastAsia="Times New Roman" w:hAnsi="Open Sans" w:cs="Times New Roman"/>
          <w:b/>
          <w:bCs/>
          <w:color w:val="222222"/>
          <w:sz w:val="24"/>
          <w:szCs w:val="24"/>
          <w:lang w:val="en"/>
        </w:rPr>
        <w:t>A:</w:t>
      </w:r>
      <w:r w:rsidRPr="00DC0049">
        <w:rPr>
          <w:rFonts w:ascii="Open Sans" w:eastAsia="Times New Roman" w:hAnsi="Open Sans" w:cs="Times New Roman"/>
          <w:color w:val="222222"/>
          <w:sz w:val="24"/>
          <w:szCs w:val="24"/>
          <w:lang w:val="en"/>
        </w:rPr>
        <w:t xml:space="preserve"> Yes. Any sensor developer whose sensor package meets the logistical requirements outlined in Table A-2 of the draft Test/Quality Assurance Plan (T/QAP), completes an application, and whose application is accepted by EPA and Battelle will be eligible to participate in the </w:t>
      </w:r>
      <w:r w:rsidR="00E13377">
        <w:rPr>
          <w:rFonts w:ascii="Open Sans" w:eastAsia="Times New Roman" w:hAnsi="Open Sans" w:cs="Times New Roman"/>
          <w:color w:val="222222"/>
          <w:sz w:val="24"/>
          <w:szCs w:val="24"/>
          <w:lang w:val="en"/>
        </w:rPr>
        <w:t xml:space="preserve">one-week </w:t>
      </w:r>
      <w:r w:rsidRPr="00DC0049">
        <w:rPr>
          <w:rFonts w:ascii="Open Sans" w:eastAsia="Times New Roman" w:hAnsi="Open Sans" w:cs="Times New Roman"/>
          <w:color w:val="222222"/>
          <w:sz w:val="24"/>
          <w:szCs w:val="24"/>
          <w:lang w:val="en"/>
        </w:rPr>
        <w:t xml:space="preserve">preliminary screening test beginning in </w:t>
      </w:r>
      <w:r w:rsidR="00E13377">
        <w:rPr>
          <w:rFonts w:ascii="Open Sans" w:eastAsia="Times New Roman" w:hAnsi="Open Sans" w:cs="Times New Roman"/>
          <w:color w:val="222222"/>
          <w:sz w:val="24"/>
          <w:szCs w:val="24"/>
          <w:lang w:val="en"/>
        </w:rPr>
        <w:t>August 21,</w:t>
      </w:r>
      <w:r w:rsidRPr="00DC0049">
        <w:rPr>
          <w:rFonts w:ascii="Open Sans" w:eastAsia="Times New Roman" w:hAnsi="Open Sans" w:cs="Times New Roman"/>
          <w:color w:val="222222"/>
          <w:sz w:val="24"/>
          <w:szCs w:val="24"/>
          <w:lang w:val="en"/>
        </w:rPr>
        <w:t xml:space="preserve"> 201</w:t>
      </w:r>
      <w:r w:rsidR="00E13377">
        <w:rPr>
          <w:rFonts w:ascii="Open Sans" w:eastAsia="Times New Roman" w:hAnsi="Open Sans" w:cs="Times New Roman"/>
          <w:color w:val="222222"/>
          <w:sz w:val="24"/>
          <w:szCs w:val="24"/>
          <w:lang w:val="en"/>
        </w:rPr>
        <w:t>9</w:t>
      </w:r>
      <w:r w:rsidRPr="00DC0049">
        <w:rPr>
          <w:rFonts w:ascii="Open Sans" w:eastAsia="Times New Roman" w:hAnsi="Open Sans" w:cs="Times New Roman"/>
          <w:color w:val="222222"/>
          <w:sz w:val="24"/>
          <w:szCs w:val="24"/>
          <w:lang w:val="en"/>
        </w:rPr>
        <w:t>. The sensor developer does not have to have participated in Phase I</w:t>
      </w:r>
      <w:r w:rsidR="00E13377">
        <w:rPr>
          <w:rFonts w:ascii="Open Sans" w:eastAsia="Times New Roman" w:hAnsi="Open Sans" w:cs="Times New Roman"/>
          <w:color w:val="222222"/>
          <w:sz w:val="24"/>
          <w:szCs w:val="24"/>
          <w:lang w:val="en"/>
        </w:rPr>
        <w:t xml:space="preserve"> or previous testing for Phase II</w:t>
      </w:r>
      <w:r w:rsidRPr="00DC0049">
        <w:rPr>
          <w:rFonts w:ascii="Open Sans" w:eastAsia="Times New Roman" w:hAnsi="Open Sans" w:cs="Times New Roman"/>
          <w:color w:val="222222"/>
          <w:sz w:val="24"/>
          <w:szCs w:val="24"/>
          <w:lang w:val="en"/>
        </w:rPr>
        <w:t xml:space="preserve">. Both the T/QAP and the application can be found on the </w:t>
      </w:r>
      <w:hyperlink r:id="rId5" w:history="1">
        <w:r w:rsidRPr="00DC0049">
          <w:rPr>
            <w:rFonts w:ascii="Open Sans" w:eastAsia="Times New Roman" w:hAnsi="Open Sans" w:cs="Times New Roman"/>
            <w:color w:val="B8213D"/>
            <w:sz w:val="24"/>
            <w:szCs w:val="24"/>
            <w:u w:val="single"/>
            <w:lang w:val="en"/>
          </w:rPr>
          <w:t>VerifiGlobal website</w:t>
        </w:r>
      </w:hyperlink>
      <w:r w:rsidRPr="00DC0049">
        <w:rPr>
          <w:rFonts w:ascii="Open Sans" w:eastAsia="Times New Roman" w:hAnsi="Open Sans" w:cs="Times New Roman"/>
          <w:color w:val="222222"/>
          <w:sz w:val="24"/>
          <w:szCs w:val="24"/>
          <w:lang w:val="en"/>
        </w:rPr>
        <w:t>. </w:t>
      </w:r>
    </w:p>
    <w:p w14:paraId="1FAF5E2F" w14:textId="77777777" w:rsidR="00DC0049" w:rsidRPr="00DC0049" w:rsidRDefault="00DC0049" w:rsidP="00DC0049">
      <w:pPr>
        <w:spacing w:after="300" w:line="240" w:lineRule="auto"/>
        <w:rPr>
          <w:rFonts w:ascii="Open Sans" w:eastAsia="Times New Roman" w:hAnsi="Open Sans" w:cs="Times New Roman"/>
          <w:color w:val="222222"/>
          <w:sz w:val="24"/>
          <w:szCs w:val="24"/>
          <w:lang w:val="en"/>
        </w:rPr>
      </w:pPr>
      <w:r w:rsidRPr="00DC0049">
        <w:rPr>
          <w:rFonts w:ascii="Open Sans" w:eastAsia="Times New Roman" w:hAnsi="Open Sans" w:cs="Times New Roman"/>
          <w:b/>
          <w:bCs/>
          <w:color w:val="222222"/>
          <w:sz w:val="24"/>
          <w:szCs w:val="24"/>
          <w:lang w:val="en"/>
        </w:rPr>
        <w:t>Q:</w:t>
      </w:r>
      <w:r w:rsidRPr="00DC0049">
        <w:rPr>
          <w:rFonts w:ascii="Open Sans" w:eastAsia="Times New Roman" w:hAnsi="Open Sans" w:cs="Times New Roman"/>
          <w:color w:val="222222"/>
          <w:sz w:val="24"/>
          <w:szCs w:val="24"/>
          <w:lang w:val="en"/>
        </w:rPr>
        <w:t xml:space="preserve"> What is the maximum allowed size of the sensor?</w:t>
      </w:r>
    </w:p>
    <w:p w14:paraId="25BCF8B5" w14:textId="1333D1FE" w:rsidR="00DC0049" w:rsidRDefault="00DC0049" w:rsidP="0001014E">
      <w:pPr>
        <w:pStyle w:val="Brandedbody"/>
        <w:spacing w:after="0"/>
        <w:rPr>
          <w:rFonts w:ascii="Open Sans" w:eastAsia="Times New Roman" w:hAnsi="Open Sans" w:cs="Times New Roman"/>
          <w:color w:val="222222"/>
          <w:sz w:val="24"/>
          <w:szCs w:val="24"/>
          <w:lang w:val="en"/>
        </w:rPr>
      </w:pPr>
      <w:r w:rsidRPr="00DC0049">
        <w:rPr>
          <w:rFonts w:ascii="Open Sans" w:eastAsia="Times New Roman" w:hAnsi="Open Sans" w:cs="Times New Roman"/>
          <w:b/>
          <w:bCs/>
          <w:color w:val="222222"/>
          <w:sz w:val="24"/>
          <w:szCs w:val="24"/>
          <w:lang w:val="en"/>
        </w:rPr>
        <w:t>A:</w:t>
      </w:r>
      <w:r w:rsidRPr="00DC0049">
        <w:rPr>
          <w:rFonts w:ascii="Open Sans" w:eastAsia="Times New Roman" w:hAnsi="Open Sans" w:cs="Times New Roman"/>
          <w:color w:val="222222"/>
          <w:sz w:val="24"/>
          <w:szCs w:val="24"/>
          <w:lang w:val="en"/>
        </w:rPr>
        <w:t xml:space="preserve"> The overall dimensions of the sensor unit should be no larger than 6” x 6” x 20”, w</w:t>
      </w:r>
      <w:r w:rsidR="00E13377">
        <w:rPr>
          <w:rFonts w:ascii="Open Sans" w:eastAsia="Times New Roman" w:hAnsi="Open Sans" w:cs="Times New Roman"/>
          <w:color w:val="222222"/>
          <w:sz w:val="24"/>
          <w:szCs w:val="24"/>
          <w:lang w:val="en"/>
        </w:rPr>
        <w:t xml:space="preserve">here the immersed </w:t>
      </w:r>
      <w:r w:rsidRPr="00DC0049">
        <w:rPr>
          <w:rFonts w:ascii="Open Sans" w:eastAsia="Times New Roman" w:hAnsi="Open Sans" w:cs="Times New Roman"/>
          <w:color w:val="222222"/>
          <w:sz w:val="24"/>
          <w:szCs w:val="24"/>
          <w:lang w:val="en"/>
        </w:rPr>
        <w:t xml:space="preserve">portion of the device </w:t>
      </w:r>
      <w:r w:rsidR="00E13377">
        <w:rPr>
          <w:rFonts w:ascii="Open Sans" w:eastAsia="Times New Roman" w:hAnsi="Open Sans" w:cs="Times New Roman"/>
          <w:color w:val="222222"/>
          <w:sz w:val="24"/>
          <w:szCs w:val="24"/>
          <w:lang w:val="en"/>
        </w:rPr>
        <w:t>is no more</w:t>
      </w:r>
      <w:r w:rsidRPr="00DC0049">
        <w:rPr>
          <w:rFonts w:ascii="Open Sans" w:eastAsia="Times New Roman" w:hAnsi="Open Sans" w:cs="Times New Roman"/>
          <w:color w:val="222222"/>
          <w:sz w:val="24"/>
          <w:szCs w:val="24"/>
          <w:lang w:val="en"/>
        </w:rPr>
        <w:t xml:space="preserve"> than 6” x 6” x 6”. </w:t>
      </w:r>
      <w:r w:rsidR="00E13377" w:rsidRPr="00E13377">
        <w:rPr>
          <w:rFonts w:ascii="Open Sans" w:hAnsi="Open Sans"/>
          <w:sz w:val="24"/>
          <w:szCs w:val="24"/>
        </w:rPr>
        <w:t>Ideally, external components accompanying the sensor would be contained in one package no more than 12” x 12” x 12</w:t>
      </w:r>
      <w:r w:rsidR="00E13377" w:rsidRPr="0001014E">
        <w:rPr>
          <w:rFonts w:ascii="Open Sans" w:hAnsi="Open Sans"/>
          <w:sz w:val="24"/>
          <w:szCs w:val="24"/>
        </w:rPr>
        <w:t xml:space="preserve">”. </w:t>
      </w:r>
      <w:r w:rsidR="0001014E" w:rsidRPr="0001014E">
        <w:rPr>
          <w:rFonts w:ascii="Open Sans" w:hAnsi="Open Sans"/>
          <w:sz w:val="24"/>
          <w:szCs w:val="24"/>
        </w:rPr>
        <w:t>As a note, ultimately, the sensor package will be below ground in a confined space with possible constraints on the size in final use.</w:t>
      </w:r>
      <w:r w:rsidR="0001014E">
        <w:rPr>
          <w:rFonts w:ascii="Open Sans" w:hAnsi="Open Sans"/>
          <w:sz w:val="24"/>
          <w:szCs w:val="24"/>
        </w:rPr>
        <w:t xml:space="preserve"> </w:t>
      </w:r>
      <w:r w:rsidRPr="00DC0049">
        <w:rPr>
          <w:rFonts w:ascii="Open Sans" w:eastAsia="Times New Roman" w:hAnsi="Open Sans" w:cs="Times New Roman"/>
          <w:color w:val="222222"/>
          <w:sz w:val="24"/>
          <w:szCs w:val="24"/>
          <w:lang w:val="en"/>
        </w:rPr>
        <w:t>This is a c</w:t>
      </w:r>
      <w:r w:rsidR="00E13377">
        <w:rPr>
          <w:rFonts w:ascii="Open Sans" w:eastAsia="Times New Roman" w:hAnsi="Open Sans" w:cs="Times New Roman"/>
          <w:color w:val="222222"/>
          <w:sz w:val="24"/>
          <w:szCs w:val="24"/>
          <w:lang w:val="en"/>
        </w:rPr>
        <w:t>larification in the</w:t>
      </w:r>
      <w:r w:rsidRPr="00DC0049">
        <w:rPr>
          <w:rFonts w:ascii="Open Sans" w:eastAsia="Times New Roman" w:hAnsi="Open Sans" w:cs="Times New Roman"/>
          <w:color w:val="222222"/>
          <w:sz w:val="24"/>
          <w:szCs w:val="24"/>
          <w:lang w:val="en"/>
        </w:rPr>
        <w:t xml:space="preserve"> Test/Quality Assurance Plan (T/QAP)</w:t>
      </w:r>
      <w:r w:rsidR="00E13377">
        <w:rPr>
          <w:rFonts w:ascii="Open Sans" w:eastAsia="Times New Roman" w:hAnsi="Open Sans" w:cs="Times New Roman"/>
          <w:color w:val="222222"/>
          <w:sz w:val="24"/>
          <w:szCs w:val="24"/>
          <w:lang w:val="en"/>
        </w:rPr>
        <w:t>, Revision 3,</w:t>
      </w:r>
      <w:r w:rsidR="0001014E">
        <w:rPr>
          <w:rFonts w:ascii="Open Sans" w:eastAsia="Times New Roman" w:hAnsi="Open Sans" w:cs="Times New Roman"/>
          <w:color w:val="222222"/>
          <w:sz w:val="24"/>
          <w:szCs w:val="24"/>
          <w:lang w:val="en"/>
        </w:rPr>
        <w:t xml:space="preserve"> June 2019</w:t>
      </w:r>
      <w:r w:rsidRPr="00DC0049">
        <w:rPr>
          <w:rFonts w:ascii="Open Sans" w:eastAsia="Times New Roman" w:hAnsi="Open Sans" w:cs="Times New Roman"/>
          <w:color w:val="222222"/>
          <w:sz w:val="24"/>
          <w:szCs w:val="24"/>
          <w:lang w:val="en"/>
        </w:rPr>
        <w:t xml:space="preserve">. </w:t>
      </w:r>
    </w:p>
    <w:p w14:paraId="49CCC50C" w14:textId="77777777" w:rsidR="005B5C1B" w:rsidRPr="00DC0049" w:rsidRDefault="005B5C1B" w:rsidP="00DC0049">
      <w:pPr>
        <w:spacing w:after="300" w:line="240" w:lineRule="auto"/>
        <w:rPr>
          <w:rFonts w:ascii="Open Sans" w:eastAsia="Times New Roman" w:hAnsi="Open Sans" w:cs="Times New Roman"/>
          <w:color w:val="222222"/>
          <w:sz w:val="24"/>
          <w:szCs w:val="24"/>
          <w:lang w:val="en"/>
        </w:rPr>
      </w:pPr>
    </w:p>
    <w:p w14:paraId="5D9E041B" w14:textId="77777777" w:rsidR="00DC0049" w:rsidRPr="00DC0049" w:rsidRDefault="00DC0049" w:rsidP="00DC0049">
      <w:pPr>
        <w:spacing w:after="300" w:line="240" w:lineRule="auto"/>
        <w:rPr>
          <w:rFonts w:ascii="Open Sans" w:eastAsia="Times New Roman" w:hAnsi="Open Sans" w:cs="Times New Roman"/>
          <w:color w:val="222222"/>
          <w:sz w:val="24"/>
          <w:szCs w:val="24"/>
          <w:lang w:val="en"/>
        </w:rPr>
      </w:pPr>
      <w:r w:rsidRPr="00DC0049">
        <w:rPr>
          <w:rFonts w:ascii="Open Sans" w:eastAsia="Times New Roman" w:hAnsi="Open Sans" w:cs="Times New Roman"/>
          <w:b/>
          <w:bCs/>
          <w:color w:val="222222"/>
          <w:sz w:val="24"/>
          <w:szCs w:val="24"/>
          <w:lang w:val="en"/>
        </w:rPr>
        <w:t>Q:</w:t>
      </w:r>
      <w:r w:rsidRPr="00DC0049">
        <w:rPr>
          <w:rFonts w:ascii="Open Sans" w:eastAsia="Times New Roman" w:hAnsi="Open Sans" w:cs="Times New Roman"/>
          <w:color w:val="222222"/>
          <w:sz w:val="24"/>
          <w:szCs w:val="24"/>
          <w:lang w:val="en"/>
        </w:rPr>
        <w:t xml:space="preserve"> What are the performance goals for the sensors?</w:t>
      </w:r>
    </w:p>
    <w:p w14:paraId="12105D2C" w14:textId="1D6CB5E3" w:rsidR="00DC0049" w:rsidRDefault="00DC0049" w:rsidP="00DC0049">
      <w:pPr>
        <w:spacing w:after="300" w:line="240" w:lineRule="auto"/>
        <w:rPr>
          <w:rFonts w:ascii="Open Sans" w:eastAsia="Times New Roman" w:hAnsi="Open Sans" w:cs="Times New Roman"/>
          <w:color w:val="222222"/>
          <w:sz w:val="24"/>
          <w:szCs w:val="24"/>
          <w:lang w:val="en"/>
        </w:rPr>
      </w:pPr>
      <w:r w:rsidRPr="00DC0049">
        <w:rPr>
          <w:rFonts w:ascii="Open Sans" w:eastAsia="Times New Roman" w:hAnsi="Open Sans" w:cs="Times New Roman"/>
          <w:b/>
          <w:bCs/>
          <w:color w:val="222222"/>
          <w:sz w:val="24"/>
          <w:szCs w:val="24"/>
          <w:lang w:val="en"/>
        </w:rPr>
        <w:t>A:</w:t>
      </w:r>
      <w:r w:rsidRPr="00DC0049">
        <w:rPr>
          <w:rFonts w:ascii="Open Sans" w:eastAsia="Times New Roman" w:hAnsi="Open Sans" w:cs="Times New Roman"/>
          <w:color w:val="222222"/>
          <w:sz w:val="24"/>
          <w:szCs w:val="24"/>
          <w:lang w:val="en"/>
        </w:rPr>
        <w:t xml:space="preserve"> The overall performance goals for the sensors are presented in the Table below (Table A-1 of the T/QAP). After a </w:t>
      </w:r>
      <w:proofErr w:type="gramStart"/>
      <w:r w:rsidRPr="00DC0049">
        <w:rPr>
          <w:rFonts w:ascii="Open Sans" w:eastAsia="Times New Roman" w:hAnsi="Open Sans" w:cs="Times New Roman"/>
          <w:color w:val="222222"/>
          <w:sz w:val="24"/>
          <w:szCs w:val="24"/>
          <w:lang w:val="en"/>
        </w:rPr>
        <w:t>high level</w:t>
      </w:r>
      <w:proofErr w:type="gramEnd"/>
      <w:r w:rsidRPr="00DC0049">
        <w:rPr>
          <w:rFonts w:ascii="Open Sans" w:eastAsia="Times New Roman" w:hAnsi="Open Sans" w:cs="Times New Roman"/>
          <w:color w:val="222222"/>
          <w:sz w:val="24"/>
          <w:szCs w:val="24"/>
          <w:lang w:val="en"/>
        </w:rPr>
        <w:t xml:space="preserve"> quality assurance and statistical review of our T/QAP, an EPA statistician advised the EPA sensor challenge team to restate the accuracy, precision and range </w:t>
      </w:r>
      <w:r w:rsidRPr="00DC0049">
        <w:rPr>
          <w:rFonts w:ascii="Open Sans" w:eastAsia="Times New Roman" w:hAnsi="Open Sans" w:cs="Times New Roman"/>
          <w:color w:val="222222"/>
          <w:sz w:val="24"/>
          <w:szCs w:val="24"/>
          <w:lang w:val="en"/>
        </w:rPr>
        <w:lastRenderedPageBreak/>
        <w:t>in the Performance Goals Table (Table A-1 in the T/QAP). The changes made reflect practical technology considerations for an in</w:t>
      </w:r>
      <w:r w:rsidR="0038452F">
        <w:rPr>
          <w:rFonts w:ascii="Open Sans" w:eastAsia="Times New Roman" w:hAnsi="Open Sans" w:cs="Times New Roman"/>
          <w:color w:val="222222"/>
          <w:sz w:val="24"/>
          <w:szCs w:val="24"/>
          <w:lang w:val="en"/>
        </w:rPr>
        <w:t>-</w:t>
      </w:r>
      <w:r w:rsidRPr="00DC0049">
        <w:rPr>
          <w:rFonts w:ascii="Open Sans" w:eastAsia="Times New Roman" w:hAnsi="Open Sans" w:cs="Times New Roman"/>
          <w:color w:val="222222"/>
          <w:sz w:val="24"/>
          <w:szCs w:val="24"/>
          <w:lang w:val="en"/>
        </w:rPr>
        <w:t xml:space="preserve">situ device, the intended field application of the sensor in a septic system, and quality review of the test plan.  </w:t>
      </w:r>
      <w:r w:rsidR="005B5C1B">
        <w:rPr>
          <w:rFonts w:ascii="Open Sans" w:eastAsia="Times New Roman" w:hAnsi="Open Sans" w:cs="Times New Roman"/>
          <w:color w:val="222222"/>
          <w:sz w:val="24"/>
          <w:szCs w:val="24"/>
          <w:lang w:val="en"/>
        </w:rPr>
        <w:t>Further changes and clarifications have been made through experience in testing and understanding stakeholders needs.</w:t>
      </w:r>
      <w:r w:rsidR="00077CD4">
        <w:rPr>
          <w:rFonts w:ascii="Open Sans" w:eastAsia="Times New Roman" w:hAnsi="Open Sans" w:cs="Times New Roman"/>
          <w:color w:val="222222"/>
          <w:sz w:val="24"/>
          <w:szCs w:val="24"/>
          <w:lang w:val="en"/>
        </w:rPr>
        <w:t xml:space="preserve"> Changes highlighted below have been made since the July 2018 webinar.</w:t>
      </w:r>
    </w:p>
    <w:p w14:paraId="44293847" w14:textId="353D2E60" w:rsidR="0038452F" w:rsidRPr="00B27CFA" w:rsidRDefault="0038452F" w:rsidP="0038452F">
      <w:pPr>
        <w:pStyle w:val="Brandedcaptiontable"/>
      </w:pPr>
      <w:bookmarkStart w:id="1" w:name="_Toc500160787"/>
      <w:bookmarkStart w:id="2" w:name="_Toc532466116"/>
      <w:r w:rsidRPr="00B27CFA">
        <w:t>Table A-1</w:t>
      </w:r>
      <w:r w:rsidR="00E13377">
        <w:t xml:space="preserve"> of the T/QAP</w:t>
      </w:r>
      <w:r w:rsidRPr="00B27CFA">
        <w:t>. Advanced Septic System Nitrogen Sensor Performance Goals</w:t>
      </w:r>
      <w:bookmarkEnd w:id="1"/>
      <w:bookmarkEnd w:id="2"/>
    </w:p>
    <w:tbl>
      <w:tblPr>
        <w:tblW w:w="953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top w:w="14" w:type="dxa"/>
          <w:left w:w="115" w:type="dxa"/>
          <w:bottom w:w="14" w:type="dxa"/>
          <w:right w:w="115" w:type="dxa"/>
        </w:tblCellMar>
        <w:tblLook w:val="04A0" w:firstRow="1" w:lastRow="0" w:firstColumn="1" w:lastColumn="0" w:noHBand="0" w:noVBand="1"/>
      </w:tblPr>
      <w:tblGrid>
        <w:gridCol w:w="1854"/>
        <w:gridCol w:w="2801"/>
        <w:gridCol w:w="1566"/>
        <w:gridCol w:w="1566"/>
        <w:gridCol w:w="1750"/>
      </w:tblGrid>
      <w:tr w:rsidR="0038452F" w:rsidRPr="00B27CFA" w14:paraId="26E8AF90" w14:textId="77777777" w:rsidTr="0038452F">
        <w:trPr>
          <w:cantSplit/>
          <w:trHeight w:val="346"/>
          <w:tblHeader/>
        </w:trPr>
        <w:tc>
          <w:tcPr>
            <w:tcW w:w="1854" w:type="dxa"/>
            <w:vMerge w:val="restart"/>
            <w:shd w:val="clear" w:color="auto" w:fill="0076BE"/>
            <w:noWrap/>
            <w:tcMar>
              <w:left w:w="72" w:type="dxa"/>
              <w:right w:w="72" w:type="dxa"/>
            </w:tcMar>
            <w:vAlign w:val="center"/>
          </w:tcPr>
          <w:p w14:paraId="289FC892" w14:textId="77777777" w:rsidR="0038452F" w:rsidRPr="00B27CFA" w:rsidRDefault="0038452F" w:rsidP="00B93969">
            <w:pPr>
              <w:pStyle w:val="Brandedtblhead"/>
              <w:jc w:val="center"/>
              <w:rPr>
                <w:rFonts w:eastAsia="Arial"/>
              </w:rPr>
            </w:pPr>
            <w:bookmarkStart w:id="3" w:name="_Hlk505696791"/>
            <w:r w:rsidRPr="00B27CFA">
              <w:rPr>
                <w:rFonts w:eastAsia="Arial"/>
              </w:rPr>
              <w:t>Attribute</w:t>
            </w:r>
          </w:p>
        </w:tc>
        <w:tc>
          <w:tcPr>
            <w:tcW w:w="2801" w:type="dxa"/>
            <w:vMerge w:val="restart"/>
            <w:shd w:val="clear" w:color="auto" w:fill="0076BE"/>
            <w:noWrap/>
            <w:tcMar>
              <w:left w:w="72" w:type="dxa"/>
              <w:right w:w="72" w:type="dxa"/>
            </w:tcMar>
            <w:vAlign w:val="center"/>
          </w:tcPr>
          <w:p w14:paraId="14DE3E8A" w14:textId="77777777" w:rsidR="0038452F" w:rsidRPr="00B27CFA" w:rsidRDefault="0038452F" w:rsidP="00B93969">
            <w:pPr>
              <w:pStyle w:val="Brandedtblhead"/>
              <w:jc w:val="center"/>
              <w:rPr>
                <w:rFonts w:eastAsia="Arial"/>
              </w:rPr>
            </w:pPr>
            <w:r w:rsidRPr="00B27CFA">
              <w:rPr>
                <w:rFonts w:eastAsia="Arial"/>
              </w:rPr>
              <w:t>Attribute Description</w:t>
            </w:r>
          </w:p>
        </w:tc>
        <w:tc>
          <w:tcPr>
            <w:tcW w:w="4882" w:type="dxa"/>
            <w:gridSpan w:val="3"/>
            <w:tcBorders>
              <w:bottom w:val="single" w:sz="2" w:space="0" w:color="FFFFFF" w:themeColor="background1"/>
            </w:tcBorders>
            <w:shd w:val="clear" w:color="auto" w:fill="0076BE"/>
            <w:noWrap/>
            <w:tcMar>
              <w:left w:w="72" w:type="dxa"/>
              <w:right w:w="72" w:type="dxa"/>
            </w:tcMar>
          </w:tcPr>
          <w:p w14:paraId="2D120222" w14:textId="77777777" w:rsidR="0038452F" w:rsidRPr="00B27CFA" w:rsidRDefault="0038452F" w:rsidP="00B93969">
            <w:pPr>
              <w:pStyle w:val="Brandedtblhead"/>
              <w:jc w:val="center"/>
              <w:rPr>
                <w:rFonts w:eastAsia="Arial"/>
              </w:rPr>
            </w:pPr>
            <w:r w:rsidRPr="00B27CFA">
              <w:rPr>
                <w:rFonts w:eastAsia="Arial"/>
              </w:rPr>
              <w:t>Performance Goals</w:t>
            </w:r>
          </w:p>
        </w:tc>
      </w:tr>
      <w:tr w:rsidR="0038452F" w:rsidRPr="00B27CFA" w14:paraId="16D4D9E0" w14:textId="77777777" w:rsidTr="0038452F">
        <w:trPr>
          <w:cantSplit/>
          <w:trHeight w:val="346"/>
          <w:tblHeader/>
        </w:trPr>
        <w:tc>
          <w:tcPr>
            <w:tcW w:w="1854" w:type="dxa"/>
            <w:vMerge/>
            <w:tcBorders>
              <w:bottom w:val="single" w:sz="2" w:space="0" w:color="FFFFFF" w:themeColor="background1"/>
            </w:tcBorders>
            <w:shd w:val="clear" w:color="auto" w:fill="0076BE"/>
            <w:noWrap/>
            <w:tcMar>
              <w:left w:w="72" w:type="dxa"/>
              <w:right w:w="72" w:type="dxa"/>
            </w:tcMar>
            <w:hideMark/>
          </w:tcPr>
          <w:p w14:paraId="47A3FFA7" w14:textId="77777777" w:rsidR="0038452F" w:rsidRPr="00B27CFA" w:rsidRDefault="0038452F" w:rsidP="00B93969">
            <w:pPr>
              <w:pStyle w:val="Brandedtblhead"/>
              <w:jc w:val="center"/>
            </w:pPr>
          </w:p>
        </w:tc>
        <w:tc>
          <w:tcPr>
            <w:tcW w:w="2801" w:type="dxa"/>
            <w:vMerge/>
            <w:tcBorders>
              <w:bottom w:val="single" w:sz="2" w:space="0" w:color="FFFFFF" w:themeColor="background1"/>
            </w:tcBorders>
            <w:shd w:val="clear" w:color="auto" w:fill="0076BE"/>
            <w:noWrap/>
            <w:tcMar>
              <w:left w:w="72" w:type="dxa"/>
              <w:right w:w="72" w:type="dxa"/>
            </w:tcMar>
            <w:hideMark/>
          </w:tcPr>
          <w:p w14:paraId="7993896C" w14:textId="77777777" w:rsidR="0038452F" w:rsidRPr="00B27CFA" w:rsidRDefault="0038452F" w:rsidP="00B93969">
            <w:pPr>
              <w:pStyle w:val="Brandedtblhead"/>
              <w:ind w:left="80" w:right="114"/>
              <w:jc w:val="center"/>
            </w:pPr>
          </w:p>
        </w:tc>
        <w:tc>
          <w:tcPr>
            <w:tcW w:w="1566" w:type="dxa"/>
            <w:tcBorders>
              <w:bottom w:val="single" w:sz="2" w:space="0" w:color="FFFFFF" w:themeColor="background1"/>
            </w:tcBorders>
            <w:shd w:val="clear" w:color="auto" w:fill="0076BE"/>
            <w:noWrap/>
            <w:tcMar>
              <w:left w:w="72" w:type="dxa"/>
              <w:right w:w="72" w:type="dxa"/>
            </w:tcMar>
            <w:hideMark/>
          </w:tcPr>
          <w:p w14:paraId="2C0BF9AF" w14:textId="77777777" w:rsidR="0038452F" w:rsidRPr="00B27CFA" w:rsidRDefault="0038452F" w:rsidP="00B93969">
            <w:pPr>
              <w:pStyle w:val="Brandedtblhead"/>
              <w:jc w:val="center"/>
              <w:rPr>
                <w:rFonts w:eastAsia="Arial"/>
              </w:rPr>
            </w:pPr>
            <w:r w:rsidRPr="00B27CFA">
              <w:rPr>
                <w:rFonts w:eastAsia="Arial"/>
              </w:rPr>
              <w:t>Minimum</w:t>
            </w:r>
          </w:p>
        </w:tc>
        <w:tc>
          <w:tcPr>
            <w:tcW w:w="1566" w:type="dxa"/>
            <w:tcBorders>
              <w:bottom w:val="single" w:sz="2" w:space="0" w:color="FFFFFF" w:themeColor="background1"/>
            </w:tcBorders>
            <w:shd w:val="clear" w:color="auto" w:fill="0076BE"/>
            <w:tcMar>
              <w:left w:w="72" w:type="dxa"/>
              <w:right w:w="72" w:type="dxa"/>
            </w:tcMar>
          </w:tcPr>
          <w:p w14:paraId="62767561" w14:textId="77777777" w:rsidR="0038452F" w:rsidRPr="00B27CFA" w:rsidRDefault="0038452F" w:rsidP="00B93969">
            <w:pPr>
              <w:pStyle w:val="Brandedtblhead"/>
              <w:jc w:val="center"/>
              <w:rPr>
                <w:rFonts w:eastAsia="Arial"/>
              </w:rPr>
            </w:pPr>
            <w:r w:rsidRPr="00B27CFA">
              <w:rPr>
                <w:rFonts w:eastAsia="Arial"/>
              </w:rPr>
              <w:t>Almost Ideal</w:t>
            </w:r>
          </w:p>
        </w:tc>
        <w:tc>
          <w:tcPr>
            <w:tcW w:w="1750" w:type="dxa"/>
            <w:tcBorders>
              <w:bottom w:val="single" w:sz="2" w:space="0" w:color="FFFFFF" w:themeColor="background1"/>
            </w:tcBorders>
            <w:shd w:val="clear" w:color="auto" w:fill="0076BE"/>
            <w:tcMar>
              <w:left w:w="72" w:type="dxa"/>
              <w:right w:w="72" w:type="dxa"/>
            </w:tcMar>
          </w:tcPr>
          <w:p w14:paraId="7581FD07" w14:textId="77777777" w:rsidR="0038452F" w:rsidRPr="00B27CFA" w:rsidRDefault="0038452F" w:rsidP="00B93969">
            <w:pPr>
              <w:pStyle w:val="Brandedtblhead"/>
              <w:jc w:val="center"/>
              <w:rPr>
                <w:rFonts w:eastAsia="Arial"/>
              </w:rPr>
            </w:pPr>
            <w:r w:rsidRPr="00B27CFA">
              <w:rPr>
                <w:rFonts w:eastAsia="Arial"/>
              </w:rPr>
              <w:t>Ideal</w:t>
            </w:r>
          </w:p>
        </w:tc>
      </w:tr>
      <w:tr w:rsidR="0038452F" w:rsidRPr="00B27CFA" w14:paraId="435CE1C1" w14:textId="77777777" w:rsidTr="0038452F">
        <w:trPr>
          <w:cantSplit/>
          <w:trHeight w:val="374"/>
        </w:trPr>
        <w:tc>
          <w:tcPr>
            <w:tcW w:w="1854" w:type="dxa"/>
            <w:shd w:val="clear" w:color="auto" w:fill="E6EBF7"/>
            <w:noWrap/>
            <w:tcMar>
              <w:left w:w="72" w:type="dxa"/>
              <w:right w:w="72" w:type="dxa"/>
            </w:tcMar>
            <w:vAlign w:val="center"/>
            <w:hideMark/>
          </w:tcPr>
          <w:p w14:paraId="7EB7223D" w14:textId="77777777" w:rsidR="0038452F" w:rsidRPr="00B27CFA" w:rsidRDefault="0038452F" w:rsidP="00B93969">
            <w:pPr>
              <w:pStyle w:val="Brandedtblcel"/>
              <w:jc w:val="center"/>
              <w:rPr>
                <w:rFonts w:eastAsia="Arial"/>
                <w:b/>
                <w:bCs/>
                <w:vertAlign w:val="superscript"/>
              </w:rPr>
            </w:pPr>
            <w:r w:rsidRPr="00B27CFA">
              <w:rPr>
                <w:rFonts w:eastAsia="Arial"/>
              </w:rPr>
              <w:t>Parameter</w:t>
            </w:r>
            <w:r w:rsidRPr="00B27CFA">
              <w:rPr>
                <w:rFonts w:eastAsia="Arial"/>
                <w:vertAlign w:val="superscript"/>
              </w:rPr>
              <w:t>1</w:t>
            </w:r>
          </w:p>
        </w:tc>
        <w:tc>
          <w:tcPr>
            <w:tcW w:w="2801" w:type="dxa"/>
            <w:shd w:val="clear" w:color="auto" w:fill="E6EBF7"/>
            <w:noWrap/>
            <w:tcMar>
              <w:left w:w="72" w:type="dxa"/>
              <w:right w:w="72" w:type="dxa"/>
            </w:tcMar>
            <w:vAlign w:val="center"/>
            <w:hideMark/>
          </w:tcPr>
          <w:p w14:paraId="52A98362" w14:textId="77777777" w:rsidR="0038452F" w:rsidRPr="00B27CFA" w:rsidRDefault="0038452F" w:rsidP="00B93969">
            <w:pPr>
              <w:pStyle w:val="Brandedtblcel"/>
              <w:ind w:left="-40" w:right="114"/>
              <w:rPr>
                <w:rFonts w:eastAsia="Arial"/>
              </w:rPr>
            </w:pPr>
            <w:r w:rsidRPr="00B27CFA">
              <w:rPr>
                <w:rFonts w:eastAsia="Arial"/>
              </w:rPr>
              <w:t>What is being measured</w:t>
            </w:r>
          </w:p>
        </w:tc>
        <w:tc>
          <w:tcPr>
            <w:tcW w:w="1566" w:type="dxa"/>
            <w:shd w:val="clear" w:color="auto" w:fill="E6EBF7"/>
            <w:noWrap/>
            <w:tcMar>
              <w:left w:w="72" w:type="dxa"/>
              <w:right w:w="72" w:type="dxa"/>
            </w:tcMar>
            <w:vAlign w:val="center"/>
            <w:hideMark/>
          </w:tcPr>
          <w:p w14:paraId="4C221EF1" w14:textId="77777777" w:rsidR="0038452F" w:rsidRPr="00B27CFA" w:rsidRDefault="0038452F" w:rsidP="00B93969">
            <w:pPr>
              <w:pStyle w:val="Brandedtblcel"/>
              <w:ind w:left="-55"/>
              <w:jc w:val="right"/>
              <w:rPr>
                <w:rFonts w:eastAsia="Arial"/>
                <w:vertAlign w:val="superscript"/>
              </w:rPr>
            </w:pPr>
            <w:r w:rsidRPr="00B27CFA">
              <w:rPr>
                <w:rFonts w:eastAsia="Arial"/>
              </w:rPr>
              <w:t>NO</w:t>
            </w:r>
            <w:r w:rsidRPr="00B27CFA">
              <w:rPr>
                <w:rFonts w:eastAsia="Arial"/>
                <w:vertAlign w:val="subscript"/>
              </w:rPr>
              <w:t>3</w:t>
            </w:r>
            <w:r w:rsidRPr="00B27CFA">
              <w:rPr>
                <w:rFonts w:eastAsia="Arial"/>
                <w:vertAlign w:val="superscript"/>
              </w:rPr>
              <w:t>-</w:t>
            </w:r>
            <w:r w:rsidRPr="00B27CFA">
              <w:rPr>
                <w:rFonts w:eastAsia="Arial"/>
              </w:rPr>
              <w:t>, NH</w:t>
            </w:r>
            <w:r w:rsidRPr="00B27CFA">
              <w:rPr>
                <w:rFonts w:eastAsia="Arial"/>
                <w:vertAlign w:val="subscript"/>
              </w:rPr>
              <w:t>4</w:t>
            </w:r>
            <w:r w:rsidRPr="00B27CFA">
              <w:rPr>
                <w:rFonts w:eastAsia="Arial"/>
                <w:vertAlign w:val="superscript"/>
              </w:rPr>
              <w:t>+</w:t>
            </w:r>
          </w:p>
        </w:tc>
        <w:tc>
          <w:tcPr>
            <w:tcW w:w="1566" w:type="dxa"/>
            <w:shd w:val="clear" w:color="auto" w:fill="E6EBF7"/>
            <w:tcMar>
              <w:left w:w="72" w:type="dxa"/>
              <w:right w:w="72" w:type="dxa"/>
            </w:tcMar>
            <w:vAlign w:val="center"/>
          </w:tcPr>
          <w:p w14:paraId="5409E34F" w14:textId="77777777" w:rsidR="0038452F" w:rsidRPr="00B27CFA" w:rsidRDefault="0038452F" w:rsidP="00B93969">
            <w:pPr>
              <w:pStyle w:val="Brandedtblcel"/>
              <w:ind w:left="-28"/>
              <w:jc w:val="right"/>
              <w:rPr>
                <w:rFonts w:eastAsia="Arial"/>
              </w:rPr>
            </w:pPr>
            <w:r w:rsidRPr="00B27CFA">
              <w:rPr>
                <w:rFonts w:eastAsia="Arial"/>
              </w:rPr>
              <w:t>NO</w:t>
            </w:r>
            <w:r w:rsidRPr="00B27CFA">
              <w:rPr>
                <w:rFonts w:eastAsia="Arial"/>
                <w:vertAlign w:val="subscript"/>
              </w:rPr>
              <w:t>3</w:t>
            </w:r>
            <w:r w:rsidRPr="00B27CFA">
              <w:rPr>
                <w:rFonts w:eastAsia="Arial"/>
                <w:vertAlign w:val="superscript"/>
              </w:rPr>
              <w:t>-</w:t>
            </w:r>
            <w:r w:rsidRPr="00B27CFA">
              <w:rPr>
                <w:rFonts w:eastAsia="Arial"/>
              </w:rPr>
              <w:t>, NH</w:t>
            </w:r>
            <w:r w:rsidRPr="00B27CFA">
              <w:rPr>
                <w:rFonts w:eastAsia="Arial"/>
                <w:vertAlign w:val="subscript"/>
              </w:rPr>
              <w:t>4</w:t>
            </w:r>
            <w:r w:rsidRPr="00B27CFA">
              <w:rPr>
                <w:rFonts w:eastAsia="Arial"/>
                <w:vertAlign w:val="superscript"/>
              </w:rPr>
              <w:t>+</w:t>
            </w:r>
            <w:r w:rsidRPr="00B27CFA">
              <w:rPr>
                <w:rFonts w:eastAsia="Arial"/>
              </w:rPr>
              <w:t>, TOC</w:t>
            </w:r>
          </w:p>
        </w:tc>
        <w:tc>
          <w:tcPr>
            <w:tcW w:w="1750" w:type="dxa"/>
            <w:shd w:val="clear" w:color="auto" w:fill="E6EBF7"/>
            <w:tcMar>
              <w:left w:w="72" w:type="dxa"/>
              <w:right w:w="72" w:type="dxa"/>
            </w:tcMar>
            <w:vAlign w:val="center"/>
          </w:tcPr>
          <w:p w14:paraId="1A622CC9" w14:textId="77777777" w:rsidR="0038452F" w:rsidRPr="00B27CFA" w:rsidRDefault="0038452F" w:rsidP="00B93969">
            <w:pPr>
              <w:pStyle w:val="Brandedtblcel"/>
              <w:ind w:left="-73"/>
              <w:jc w:val="right"/>
              <w:rPr>
                <w:rFonts w:eastAsia="Arial"/>
              </w:rPr>
            </w:pPr>
            <w:r w:rsidRPr="00B27CFA">
              <w:rPr>
                <w:rFonts w:eastAsia="Arial"/>
              </w:rPr>
              <w:t>Total nitrogen (TN)</w:t>
            </w:r>
            <w:r w:rsidRPr="00B27CFA">
              <w:rPr>
                <w:rFonts w:eastAsia="Arial"/>
                <w:vertAlign w:val="superscript"/>
              </w:rPr>
              <w:t>2</w:t>
            </w:r>
            <w:r w:rsidRPr="00B27CFA">
              <w:rPr>
                <w:rFonts w:eastAsia="Arial"/>
              </w:rPr>
              <w:t xml:space="preserve"> </w:t>
            </w:r>
          </w:p>
        </w:tc>
      </w:tr>
      <w:tr w:rsidR="0038452F" w:rsidRPr="00B27CFA" w14:paraId="21C0B43C" w14:textId="77777777" w:rsidTr="0038452F">
        <w:trPr>
          <w:cantSplit/>
          <w:trHeight w:val="374"/>
        </w:trPr>
        <w:tc>
          <w:tcPr>
            <w:tcW w:w="1854" w:type="dxa"/>
            <w:tcBorders>
              <w:bottom w:val="single" w:sz="2" w:space="0" w:color="FFFFFF" w:themeColor="background1"/>
            </w:tcBorders>
            <w:shd w:val="clear" w:color="auto" w:fill="F0F0F0"/>
            <w:tcMar>
              <w:left w:w="72" w:type="dxa"/>
              <w:right w:w="72" w:type="dxa"/>
            </w:tcMar>
            <w:vAlign w:val="center"/>
            <w:hideMark/>
          </w:tcPr>
          <w:p w14:paraId="5D4D6E92" w14:textId="77777777" w:rsidR="0038452F" w:rsidRPr="00B27CFA" w:rsidRDefault="0038452F" w:rsidP="00B93969">
            <w:pPr>
              <w:pStyle w:val="Brandedtblcel"/>
              <w:jc w:val="center"/>
              <w:rPr>
                <w:rFonts w:eastAsia="Arial"/>
                <w:b/>
                <w:bCs/>
              </w:rPr>
            </w:pPr>
            <w:r w:rsidRPr="00B27CFA">
              <w:rPr>
                <w:rFonts w:eastAsia="Arial"/>
              </w:rPr>
              <w:t>Installation Price</w:t>
            </w:r>
          </w:p>
        </w:tc>
        <w:tc>
          <w:tcPr>
            <w:tcW w:w="2801" w:type="dxa"/>
            <w:tcBorders>
              <w:bottom w:val="single" w:sz="2" w:space="0" w:color="FFFFFF" w:themeColor="background1"/>
            </w:tcBorders>
            <w:shd w:val="clear" w:color="auto" w:fill="F0F0F0"/>
            <w:tcMar>
              <w:left w:w="72" w:type="dxa"/>
              <w:right w:w="72" w:type="dxa"/>
            </w:tcMar>
            <w:vAlign w:val="center"/>
          </w:tcPr>
          <w:p w14:paraId="7E97BF7C" w14:textId="77777777" w:rsidR="0038452F" w:rsidRPr="00B27CFA" w:rsidRDefault="0038452F" w:rsidP="00B93969">
            <w:pPr>
              <w:pStyle w:val="Brandedtblcel"/>
              <w:ind w:left="-40" w:right="114"/>
              <w:rPr>
                <w:rFonts w:eastAsia="Arial"/>
              </w:rPr>
            </w:pPr>
            <w:r w:rsidRPr="00B27CFA">
              <w:rPr>
                <w:rFonts w:eastAsia="Arial"/>
              </w:rPr>
              <w:t>Price to the homeowner to install</w:t>
            </w:r>
          </w:p>
        </w:tc>
        <w:tc>
          <w:tcPr>
            <w:tcW w:w="1566" w:type="dxa"/>
            <w:tcBorders>
              <w:bottom w:val="single" w:sz="2" w:space="0" w:color="FFFFFF" w:themeColor="background1"/>
            </w:tcBorders>
            <w:shd w:val="clear" w:color="auto" w:fill="F0F0F0"/>
            <w:noWrap/>
            <w:tcMar>
              <w:left w:w="72" w:type="dxa"/>
              <w:right w:w="72" w:type="dxa"/>
            </w:tcMar>
            <w:vAlign w:val="center"/>
          </w:tcPr>
          <w:p w14:paraId="1E9A0032" w14:textId="77777777" w:rsidR="0038452F" w:rsidRPr="00B27CFA" w:rsidRDefault="0038452F" w:rsidP="00B93969">
            <w:pPr>
              <w:pStyle w:val="Brandedtblcel"/>
              <w:ind w:left="-55"/>
              <w:jc w:val="right"/>
              <w:rPr>
                <w:rFonts w:eastAsia="Arial"/>
              </w:rPr>
            </w:pPr>
            <w:r w:rsidRPr="00B27CFA">
              <w:rPr>
                <w:rFonts w:eastAsia="Arial"/>
              </w:rPr>
              <w:t>$1,500</w:t>
            </w:r>
          </w:p>
        </w:tc>
        <w:tc>
          <w:tcPr>
            <w:tcW w:w="1566" w:type="dxa"/>
            <w:tcBorders>
              <w:bottom w:val="single" w:sz="2" w:space="0" w:color="FFFFFF" w:themeColor="background1"/>
            </w:tcBorders>
            <w:shd w:val="clear" w:color="auto" w:fill="F0F0F0"/>
            <w:tcMar>
              <w:left w:w="72" w:type="dxa"/>
              <w:right w:w="72" w:type="dxa"/>
            </w:tcMar>
            <w:vAlign w:val="center"/>
          </w:tcPr>
          <w:p w14:paraId="1506334B" w14:textId="77777777" w:rsidR="0038452F" w:rsidRPr="00B27CFA" w:rsidRDefault="0038452F" w:rsidP="00B93969">
            <w:pPr>
              <w:pStyle w:val="Brandedtblcel"/>
              <w:ind w:left="-28"/>
              <w:jc w:val="right"/>
              <w:rPr>
                <w:rFonts w:eastAsia="Arial"/>
              </w:rPr>
            </w:pPr>
            <w:r w:rsidRPr="00B27CFA">
              <w:rPr>
                <w:rFonts w:eastAsia="Arial"/>
              </w:rPr>
              <w:t>$1,250</w:t>
            </w:r>
          </w:p>
        </w:tc>
        <w:tc>
          <w:tcPr>
            <w:tcW w:w="1750" w:type="dxa"/>
            <w:tcBorders>
              <w:bottom w:val="single" w:sz="2" w:space="0" w:color="FFFFFF" w:themeColor="background1"/>
            </w:tcBorders>
            <w:shd w:val="clear" w:color="auto" w:fill="F0F0F0"/>
            <w:tcMar>
              <w:left w:w="72" w:type="dxa"/>
              <w:right w:w="72" w:type="dxa"/>
            </w:tcMar>
            <w:vAlign w:val="center"/>
          </w:tcPr>
          <w:p w14:paraId="29EA6F68" w14:textId="77777777" w:rsidR="0038452F" w:rsidRPr="00B27CFA" w:rsidRDefault="0038452F" w:rsidP="00B93969">
            <w:pPr>
              <w:pStyle w:val="Brandedtblcel"/>
              <w:ind w:left="-73"/>
              <w:jc w:val="right"/>
              <w:rPr>
                <w:rFonts w:eastAsia="Arial"/>
              </w:rPr>
            </w:pPr>
            <w:r w:rsidRPr="00B27CFA">
              <w:rPr>
                <w:rFonts w:eastAsia="Arial"/>
              </w:rPr>
              <w:t>$1,000</w:t>
            </w:r>
          </w:p>
        </w:tc>
      </w:tr>
      <w:tr w:rsidR="0038452F" w:rsidRPr="00B27CFA" w14:paraId="79BA786E" w14:textId="77777777" w:rsidTr="00077CD4">
        <w:trPr>
          <w:cantSplit/>
          <w:trHeight w:val="374"/>
        </w:trPr>
        <w:tc>
          <w:tcPr>
            <w:tcW w:w="1854" w:type="dxa"/>
            <w:tcBorders>
              <w:bottom w:val="single" w:sz="2" w:space="0" w:color="FFFFFF" w:themeColor="background1"/>
            </w:tcBorders>
            <w:shd w:val="clear" w:color="auto" w:fill="E6EBF7"/>
            <w:tcMar>
              <w:left w:w="72" w:type="dxa"/>
              <w:right w:w="72" w:type="dxa"/>
            </w:tcMar>
            <w:vAlign w:val="center"/>
          </w:tcPr>
          <w:p w14:paraId="3AF29F4D" w14:textId="77777777" w:rsidR="0038452F" w:rsidRPr="00B27CFA" w:rsidRDefault="0038452F" w:rsidP="00B93969">
            <w:pPr>
              <w:pStyle w:val="Brandedtblcel"/>
              <w:jc w:val="center"/>
              <w:rPr>
                <w:rFonts w:eastAsia="Arial"/>
                <w:b/>
                <w:bCs/>
              </w:rPr>
            </w:pPr>
            <w:bookmarkStart w:id="4" w:name="_Hlk505696818"/>
            <w:bookmarkEnd w:id="3"/>
            <w:r w:rsidRPr="00B27CFA">
              <w:rPr>
                <w:rFonts w:eastAsia="Arial"/>
              </w:rPr>
              <w:t>Data Management</w:t>
            </w:r>
          </w:p>
        </w:tc>
        <w:tc>
          <w:tcPr>
            <w:tcW w:w="2801" w:type="dxa"/>
            <w:tcBorders>
              <w:bottom w:val="single" w:sz="2" w:space="0" w:color="FFFFFF" w:themeColor="background1"/>
            </w:tcBorders>
            <w:shd w:val="clear" w:color="auto" w:fill="E6EBF7"/>
            <w:tcMar>
              <w:left w:w="72" w:type="dxa"/>
              <w:right w:w="72" w:type="dxa"/>
            </w:tcMar>
            <w:vAlign w:val="center"/>
          </w:tcPr>
          <w:p w14:paraId="08D60ED7" w14:textId="77777777" w:rsidR="0038452F" w:rsidRPr="00B27CFA" w:rsidRDefault="0038452F" w:rsidP="00B93969">
            <w:pPr>
              <w:pStyle w:val="Brandedtblcel"/>
              <w:ind w:left="-40" w:right="114"/>
              <w:rPr>
                <w:rFonts w:eastAsia="Arial"/>
              </w:rPr>
            </w:pPr>
            <w:r w:rsidRPr="00B27CFA">
              <w:rPr>
                <w:rFonts w:eastAsia="Arial"/>
              </w:rPr>
              <w:t>Ability to record and transmit data (i.e., telemetry) for real-time access by practitioners, regulators, and interested stakeholders</w:t>
            </w:r>
          </w:p>
        </w:tc>
        <w:tc>
          <w:tcPr>
            <w:tcW w:w="1566" w:type="dxa"/>
            <w:tcBorders>
              <w:bottom w:val="single" w:sz="2" w:space="0" w:color="FFFFFF" w:themeColor="background1"/>
            </w:tcBorders>
            <w:shd w:val="clear" w:color="auto" w:fill="E6EBF7"/>
            <w:noWrap/>
            <w:tcMar>
              <w:left w:w="72" w:type="dxa"/>
              <w:right w:w="72" w:type="dxa"/>
            </w:tcMar>
            <w:vAlign w:val="center"/>
          </w:tcPr>
          <w:p w14:paraId="1703F49F" w14:textId="77777777" w:rsidR="0038452F" w:rsidRPr="00B27CFA" w:rsidRDefault="0038452F" w:rsidP="00B93969">
            <w:pPr>
              <w:pStyle w:val="Brandedtblcel"/>
              <w:ind w:left="-55"/>
              <w:jc w:val="right"/>
              <w:rPr>
                <w:rFonts w:eastAsia="Arial"/>
              </w:rPr>
            </w:pPr>
            <w:r w:rsidRPr="00B27CFA">
              <w:rPr>
                <w:rFonts w:eastAsia="Arial"/>
              </w:rPr>
              <w:t>Record and automatically transmit data to designated server or cloud</w:t>
            </w:r>
          </w:p>
        </w:tc>
        <w:tc>
          <w:tcPr>
            <w:tcW w:w="1566" w:type="dxa"/>
            <w:tcBorders>
              <w:bottom w:val="single" w:sz="2" w:space="0" w:color="FFFFFF" w:themeColor="background1"/>
            </w:tcBorders>
            <w:shd w:val="clear" w:color="auto" w:fill="E6EBF7"/>
            <w:tcMar>
              <w:left w:w="72" w:type="dxa"/>
              <w:right w:w="72" w:type="dxa"/>
            </w:tcMar>
            <w:vAlign w:val="center"/>
          </w:tcPr>
          <w:p w14:paraId="0DCC392D" w14:textId="77777777" w:rsidR="0038452F" w:rsidRPr="00B27CFA" w:rsidRDefault="0038452F" w:rsidP="00B93969">
            <w:pPr>
              <w:pStyle w:val="Brandedtblcel"/>
              <w:ind w:left="-28"/>
              <w:jc w:val="right"/>
              <w:rPr>
                <w:rFonts w:eastAsia="Arial"/>
              </w:rPr>
            </w:pPr>
            <w:r w:rsidRPr="00B27CFA">
              <w:rPr>
                <w:rFonts w:eastAsia="Arial"/>
              </w:rPr>
              <w:t>Record and automatically transmit data to designated server or cloud</w:t>
            </w:r>
          </w:p>
        </w:tc>
        <w:tc>
          <w:tcPr>
            <w:tcW w:w="1750" w:type="dxa"/>
            <w:tcBorders>
              <w:bottom w:val="single" w:sz="2" w:space="0" w:color="FFFFFF" w:themeColor="background1"/>
            </w:tcBorders>
            <w:shd w:val="clear" w:color="auto" w:fill="FFFF00"/>
            <w:tcMar>
              <w:left w:w="72" w:type="dxa"/>
              <w:right w:w="72" w:type="dxa"/>
            </w:tcMar>
            <w:vAlign w:val="center"/>
          </w:tcPr>
          <w:p w14:paraId="6EBA3CC6" w14:textId="77777777" w:rsidR="0038452F" w:rsidRPr="00B27CFA" w:rsidRDefault="0038452F" w:rsidP="00B93969">
            <w:pPr>
              <w:pStyle w:val="Brandedtblcel"/>
              <w:ind w:left="-73"/>
              <w:jc w:val="right"/>
              <w:rPr>
                <w:rFonts w:eastAsia="Arial"/>
              </w:rPr>
            </w:pPr>
            <w:r w:rsidRPr="00077CD4">
              <w:rPr>
                <w:rFonts w:eastAsia="Arial"/>
                <w:highlight w:val="yellow"/>
                <w:shd w:val="clear" w:color="auto" w:fill="FFFF00"/>
              </w:rPr>
              <w:t>Record and automatically transmit data to designated server or cloud; include remote capability of programming variable sampling frequencies</w:t>
            </w:r>
            <w:r w:rsidRPr="00B27CFA">
              <w:rPr>
                <w:rFonts w:eastAsia="Arial"/>
              </w:rPr>
              <w:t>.</w:t>
            </w:r>
          </w:p>
        </w:tc>
      </w:tr>
      <w:tr w:rsidR="0038452F" w:rsidRPr="00B27CFA" w14:paraId="0C197AE5" w14:textId="77777777" w:rsidTr="0038452F">
        <w:trPr>
          <w:cantSplit/>
          <w:trHeight w:val="374"/>
        </w:trPr>
        <w:tc>
          <w:tcPr>
            <w:tcW w:w="1854" w:type="dxa"/>
            <w:shd w:val="clear" w:color="auto" w:fill="F2F2F2" w:themeFill="background1" w:themeFillShade="F2"/>
            <w:noWrap/>
            <w:tcMar>
              <w:left w:w="72" w:type="dxa"/>
              <w:right w:w="72" w:type="dxa"/>
            </w:tcMar>
            <w:vAlign w:val="center"/>
          </w:tcPr>
          <w:p w14:paraId="01AB0196" w14:textId="77777777" w:rsidR="0038452F" w:rsidRPr="00B27CFA" w:rsidRDefault="0038452F" w:rsidP="00B93969">
            <w:pPr>
              <w:pStyle w:val="Brandedtblcel"/>
              <w:jc w:val="center"/>
              <w:rPr>
                <w:rFonts w:eastAsia="Arial"/>
              </w:rPr>
            </w:pPr>
            <w:r w:rsidRPr="00B27CFA">
              <w:rPr>
                <w:rFonts w:eastAsia="Arial"/>
              </w:rPr>
              <w:t>Applicability &amp; Accessibility</w:t>
            </w:r>
          </w:p>
        </w:tc>
        <w:tc>
          <w:tcPr>
            <w:tcW w:w="2801" w:type="dxa"/>
            <w:shd w:val="clear" w:color="auto" w:fill="F2F2F2" w:themeFill="background1" w:themeFillShade="F2"/>
            <w:tcMar>
              <w:left w:w="72" w:type="dxa"/>
              <w:right w:w="72" w:type="dxa"/>
            </w:tcMar>
            <w:vAlign w:val="center"/>
          </w:tcPr>
          <w:p w14:paraId="18688115" w14:textId="77777777" w:rsidR="0038452F" w:rsidRPr="00B27CFA" w:rsidRDefault="0038452F" w:rsidP="00B93969">
            <w:pPr>
              <w:pStyle w:val="Brandedtblcel"/>
              <w:ind w:left="-40" w:right="114"/>
              <w:rPr>
                <w:rFonts w:eastAsia="Arial"/>
              </w:rPr>
            </w:pPr>
            <w:r w:rsidRPr="00B27CFA">
              <w:rPr>
                <w:rFonts w:eastAsia="Arial"/>
              </w:rPr>
              <w:t>Applicability of sensor(s) to various innovative/alternative system designs and ease of access to OWTS for installation and maintenance</w:t>
            </w:r>
          </w:p>
        </w:tc>
        <w:tc>
          <w:tcPr>
            <w:tcW w:w="1566" w:type="dxa"/>
            <w:shd w:val="clear" w:color="auto" w:fill="F2F2F2" w:themeFill="background1" w:themeFillShade="F2"/>
            <w:noWrap/>
            <w:tcMar>
              <w:left w:w="72" w:type="dxa"/>
              <w:right w:w="72" w:type="dxa"/>
            </w:tcMar>
            <w:vAlign w:val="center"/>
          </w:tcPr>
          <w:p w14:paraId="7C2CAED6" w14:textId="77777777" w:rsidR="0038452F" w:rsidRPr="00B27CFA" w:rsidRDefault="0038452F" w:rsidP="00B93969">
            <w:pPr>
              <w:pStyle w:val="Brandedtblcel"/>
              <w:ind w:left="-55"/>
              <w:jc w:val="right"/>
              <w:rPr>
                <w:rFonts w:eastAsia="Arial"/>
              </w:rPr>
            </w:pPr>
            <w:r w:rsidRPr="00B27CFA">
              <w:rPr>
                <w:rFonts w:eastAsia="Arial"/>
              </w:rPr>
              <w:t>Located in-situ to provide performance information on the OWTS; must be accessible for maintenance</w:t>
            </w:r>
          </w:p>
        </w:tc>
        <w:tc>
          <w:tcPr>
            <w:tcW w:w="1566" w:type="dxa"/>
            <w:shd w:val="clear" w:color="auto" w:fill="F2F2F2" w:themeFill="background1" w:themeFillShade="F2"/>
            <w:tcMar>
              <w:left w:w="72" w:type="dxa"/>
              <w:right w:w="72" w:type="dxa"/>
            </w:tcMar>
            <w:vAlign w:val="center"/>
          </w:tcPr>
          <w:p w14:paraId="593C3F07" w14:textId="77777777" w:rsidR="0038452F" w:rsidRPr="00B27CFA" w:rsidRDefault="0038452F" w:rsidP="00B93969">
            <w:pPr>
              <w:pStyle w:val="Brandedtblcel"/>
              <w:ind w:left="-28"/>
              <w:jc w:val="right"/>
              <w:rPr>
                <w:rFonts w:eastAsia="Arial"/>
              </w:rPr>
            </w:pPr>
            <w:r w:rsidRPr="00B27CFA">
              <w:rPr>
                <w:rFonts w:eastAsia="Arial"/>
              </w:rPr>
              <w:t>Located in-situ to provide performance information on the OWTS; must be accessible for maintenance</w:t>
            </w:r>
          </w:p>
        </w:tc>
        <w:tc>
          <w:tcPr>
            <w:tcW w:w="1750" w:type="dxa"/>
            <w:shd w:val="clear" w:color="auto" w:fill="F2F2F2" w:themeFill="background1" w:themeFillShade="F2"/>
            <w:tcMar>
              <w:left w:w="72" w:type="dxa"/>
              <w:right w:w="72" w:type="dxa"/>
            </w:tcMar>
            <w:vAlign w:val="center"/>
          </w:tcPr>
          <w:p w14:paraId="774ACFF9" w14:textId="77777777" w:rsidR="0038452F" w:rsidRPr="00B27CFA" w:rsidRDefault="0038452F" w:rsidP="00B93969">
            <w:pPr>
              <w:pStyle w:val="Brandedtblcel"/>
              <w:ind w:left="-73"/>
              <w:jc w:val="right"/>
              <w:rPr>
                <w:rFonts w:eastAsia="Arial"/>
              </w:rPr>
            </w:pPr>
            <w:r w:rsidRPr="00B27CFA">
              <w:rPr>
                <w:rFonts w:eastAsia="Arial"/>
              </w:rPr>
              <w:t>Located in-situ to provide performance information on the OWTS; must be accessible for maintenance</w:t>
            </w:r>
          </w:p>
        </w:tc>
      </w:tr>
      <w:tr w:rsidR="0038452F" w:rsidRPr="00B27CFA" w14:paraId="7867E77D" w14:textId="77777777" w:rsidTr="0038452F">
        <w:trPr>
          <w:cantSplit/>
          <w:trHeight w:val="374"/>
        </w:trPr>
        <w:tc>
          <w:tcPr>
            <w:tcW w:w="1854" w:type="dxa"/>
            <w:shd w:val="clear" w:color="auto" w:fill="E6EBF7"/>
            <w:noWrap/>
            <w:tcMar>
              <w:left w:w="72" w:type="dxa"/>
              <w:right w:w="72" w:type="dxa"/>
            </w:tcMar>
            <w:vAlign w:val="center"/>
          </w:tcPr>
          <w:p w14:paraId="488C6B59" w14:textId="77777777" w:rsidR="0038452F" w:rsidRPr="00B27CFA" w:rsidRDefault="0038452F" w:rsidP="00B93969">
            <w:pPr>
              <w:pStyle w:val="Brandedtblcel"/>
              <w:jc w:val="center"/>
              <w:rPr>
                <w:rFonts w:eastAsia="Arial"/>
                <w:b/>
                <w:bCs/>
              </w:rPr>
            </w:pPr>
            <w:r w:rsidRPr="00B27CFA">
              <w:rPr>
                <w:rFonts w:eastAsia="Arial"/>
              </w:rPr>
              <w:t>Frequency of Sensor System Maintenance</w:t>
            </w:r>
          </w:p>
        </w:tc>
        <w:tc>
          <w:tcPr>
            <w:tcW w:w="2801" w:type="dxa"/>
            <w:shd w:val="clear" w:color="auto" w:fill="E6EBF7"/>
            <w:tcMar>
              <w:left w:w="72" w:type="dxa"/>
              <w:right w:w="72" w:type="dxa"/>
            </w:tcMar>
            <w:vAlign w:val="center"/>
          </w:tcPr>
          <w:p w14:paraId="4DFF0C19" w14:textId="77777777" w:rsidR="0038452F" w:rsidRPr="00B27CFA" w:rsidRDefault="0038452F" w:rsidP="00B93969">
            <w:pPr>
              <w:pStyle w:val="Brandedtblcel"/>
              <w:ind w:left="-40" w:right="114"/>
              <w:rPr>
                <w:rFonts w:eastAsia="Arial"/>
              </w:rPr>
            </w:pPr>
            <w:r w:rsidRPr="00B27CFA">
              <w:rPr>
                <w:rFonts w:eastAsia="Arial"/>
              </w:rPr>
              <w:t>How often the sensor(s) need to be maintained</w:t>
            </w:r>
          </w:p>
        </w:tc>
        <w:tc>
          <w:tcPr>
            <w:tcW w:w="1566" w:type="dxa"/>
            <w:shd w:val="clear" w:color="auto" w:fill="E6EBF7"/>
            <w:noWrap/>
            <w:tcMar>
              <w:left w:w="72" w:type="dxa"/>
              <w:right w:w="72" w:type="dxa"/>
            </w:tcMar>
            <w:vAlign w:val="center"/>
          </w:tcPr>
          <w:p w14:paraId="4C8001F5" w14:textId="77777777" w:rsidR="0038452F" w:rsidRPr="00B27CFA" w:rsidRDefault="0038452F" w:rsidP="00B93969">
            <w:pPr>
              <w:pStyle w:val="Brandedtblcel"/>
              <w:ind w:left="-55"/>
              <w:jc w:val="right"/>
              <w:rPr>
                <w:rFonts w:eastAsia="Arial"/>
              </w:rPr>
            </w:pPr>
            <w:r w:rsidRPr="00B27CFA">
              <w:rPr>
                <w:rFonts w:eastAsia="Arial"/>
              </w:rPr>
              <w:t>No more than quarterly</w:t>
            </w:r>
          </w:p>
        </w:tc>
        <w:tc>
          <w:tcPr>
            <w:tcW w:w="1566" w:type="dxa"/>
            <w:shd w:val="clear" w:color="auto" w:fill="E6EBF7"/>
            <w:tcMar>
              <w:left w:w="72" w:type="dxa"/>
              <w:right w:w="72" w:type="dxa"/>
            </w:tcMar>
            <w:vAlign w:val="center"/>
          </w:tcPr>
          <w:p w14:paraId="65D7FCE7" w14:textId="77777777" w:rsidR="0038452F" w:rsidRPr="00B27CFA" w:rsidRDefault="0038452F" w:rsidP="00B93969">
            <w:pPr>
              <w:pStyle w:val="Brandedtblcel"/>
              <w:ind w:left="-28"/>
              <w:jc w:val="right"/>
              <w:rPr>
                <w:rFonts w:eastAsia="Arial"/>
              </w:rPr>
            </w:pPr>
            <w:r w:rsidRPr="00B27CFA">
              <w:rPr>
                <w:rFonts w:eastAsia="Arial"/>
              </w:rPr>
              <w:t>No more than semi-annually</w:t>
            </w:r>
          </w:p>
        </w:tc>
        <w:tc>
          <w:tcPr>
            <w:tcW w:w="1750" w:type="dxa"/>
            <w:shd w:val="clear" w:color="auto" w:fill="E6EBF7"/>
            <w:tcMar>
              <w:left w:w="72" w:type="dxa"/>
              <w:right w:w="72" w:type="dxa"/>
            </w:tcMar>
            <w:vAlign w:val="center"/>
          </w:tcPr>
          <w:p w14:paraId="2A0E0F26" w14:textId="77777777" w:rsidR="0038452F" w:rsidRPr="00B27CFA" w:rsidRDefault="0038452F" w:rsidP="00B93969">
            <w:pPr>
              <w:pStyle w:val="Brandedtblcel"/>
              <w:ind w:left="-73"/>
              <w:jc w:val="right"/>
              <w:rPr>
                <w:rFonts w:eastAsia="Arial"/>
              </w:rPr>
            </w:pPr>
            <w:r w:rsidRPr="00B27CFA">
              <w:rPr>
                <w:rFonts w:eastAsia="Arial"/>
              </w:rPr>
              <w:t>No more than annually</w:t>
            </w:r>
          </w:p>
        </w:tc>
      </w:tr>
      <w:tr w:rsidR="0038452F" w:rsidRPr="00B27CFA" w14:paraId="2B2EDE01" w14:textId="77777777" w:rsidTr="0038452F">
        <w:trPr>
          <w:cantSplit/>
          <w:trHeight w:val="374"/>
        </w:trPr>
        <w:tc>
          <w:tcPr>
            <w:tcW w:w="1854" w:type="dxa"/>
            <w:tcBorders>
              <w:bottom w:val="single" w:sz="2" w:space="0" w:color="FFFFFF" w:themeColor="background1"/>
            </w:tcBorders>
            <w:shd w:val="clear" w:color="auto" w:fill="F0F0F0"/>
            <w:tcMar>
              <w:left w:w="72" w:type="dxa"/>
              <w:right w:w="72" w:type="dxa"/>
            </w:tcMar>
            <w:vAlign w:val="center"/>
          </w:tcPr>
          <w:p w14:paraId="45289993" w14:textId="77777777" w:rsidR="0038452F" w:rsidRPr="00B27CFA" w:rsidRDefault="0038452F" w:rsidP="00B93969">
            <w:pPr>
              <w:pStyle w:val="Brandedtblcel"/>
              <w:jc w:val="center"/>
              <w:rPr>
                <w:rFonts w:eastAsia="Arial"/>
                <w:b/>
                <w:bCs/>
              </w:rPr>
            </w:pPr>
            <w:r w:rsidRPr="00B27CFA">
              <w:rPr>
                <w:rFonts w:eastAsia="Arial"/>
              </w:rPr>
              <w:t>Accuracy</w:t>
            </w:r>
          </w:p>
        </w:tc>
        <w:tc>
          <w:tcPr>
            <w:tcW w:w="2801" w:type="dxa"/>
            <w:tcBorders>
              <w:bottom w:val="single" w:sz="2" w:space="0" w:color="FFFFFF" w:themeColor="background1"/>
            </w:tcBorders>
            <w:shd w:val="clear" w:color="auto" w:fill="F0F0F0"/>
            <w:tcMar>
              <w:left w:w="72" w:type="dxa"/>
              <w:right w:w="72" w:type="dxa"/>
            </w:tcMar>
            <w:vAlign w:val="center"/>
          </w:tcPr>
          <w:p w14:paraId="41987D49" w14:textId="77777777" w:rsidR="0038452F" w:rsidRPr="00B27CFA" w:rsidRDefault="0038452F" w:rsidP="00B93969">
            <w:pPr>
              <w:pStyle w:val="Brandedtblcel"/>
              <w:ind w:left="-40" w:right="114"/>
              <w:rPr>
                <w:rFonts w:eastAsia="Arial"/>
              </w:rPr>
            </w:pPr>
            <w:r w:rsidRPr="00B27CFA">
              <w:rPr>
                <w:rFonts w:eastAsia="Arial"/>
              </w:rPr>
              <w:t>Accuracy of sensor measurements to the true measurement</w:t>
            </w:r>
          </w:p>
        </w:tc>
        <w:tc>
          <w:tcPr>
            <w:tcW w:w="1566" w:type="dxa"/>
            <w:tcBorders>
              <w:bottom w:val="single" w:sz="2" w:space="0" w:color="FFFFFF" w:themeColor="background1"/>
            </w:tcBorders>
            <w:shd w:val="clear" w:color="auto" w:fill="F0F0F0"/>
            <w:noWrap/>
            <w:tcMar>
              <w:left w:w="72" w:type="dxa"/>
              <w:right w:w="72" w:type="dxa"/>
            </w:tcMar>
            <w:vAlign w:val="center"/>
          </w:tcPr>
          <w:p w14:paraId="120B2E0B" w14:textId="77777777" w:rsidR="0038452F" w:rsidRPr="00B27CFA" w:rsidRDefault="0038452F" w:rsidP="00B93969">
            <w:pPr>
              <w:pStyle w:val="Brandedtblcel"/>
              <w:ind w:left="-55"/>
              <w:jc w:val="right"/>
              <w:rPr>
                <w:rFonts w:eastAsia="Arial"/>
              </w:rPr>
            </w:pPr>
            <w:r w:rsidRPr="00B27CFA">
              <w:rPr>
                <w:rFonts w:eastAsia="Arial"/>
              </w:rPr>
              <w:t>Within 20% of true value</w:t>
            </w:r>
            <w:r w:rsidRPr="00B27CFA">
              <w:rPr>
                <w:rFonts w:eastAsia="Arial"/>
                <w:vertAlign w:val="superscript"/>
              </w:rPr>
              <w:t>3</w:t>
            </w:r>
          </w:p>
        </w:tc>
        <w:tc>
          <w:tcPr>
            <w:tcW w:w="1566" w:type="dxa"/>
            <w:tcBorders>
              <w:bottom w:val="single" w:sz="2" w:space="0" w:color="FFFFFF" w:themeColor="background1"/>
            </w:tcBorders>
            <w:shd w:val="clear" w:color="auto" w:fill="F0F0F0"/>
            <w:tcMar>
              <w:left w:w="72" w:type="dxa"/>
              <w:right w:w="72" w:type="dxa"/>
            </w:tcMar>
            <w:vAlign w:val="center"/>
          </w:tcPr>
          <w:p w14:paraId="51F20B46" w14:textId="77777777" w:rsidR="0038452F" w:rsidRPr="00B27CFA" w:rsidRDefault="0038452F" w:rsidP="00B93969">
            <w:pPr>
              <w:pStyle w:val="Brandedtblcel"/>
              <w:ind w:left="-28"/>
              <w:jc w:val="right"/>
              <w:rPr>
                <w:rFonts w:eastAsia="Arial"/>
              </w:rPr>
            </w:pPr>
            <w:r w:rsidRPr="00B27CFA">
              <w:rPr>
                <w:rFonts w:eastAsia="Arial"/>
              </w:rPr>
              <w:t>Within 20% of true value</w:t>
            </w:r>
            <w:r w:rsidRPr="00B27CFA">
              <w:rPr>
                <w:rFonts w:eastAsia="Arial"/>
                <w:vertAlign w:val="superscript"/>
              </w:rPr>
              <w:t>3</w:t>
            </w:r>
          </w:p>
        </w:tc>
        <w:tc>
          <w:tcPr>
            <w:tcW w:w="1750" w:type="dxa"/>
            <w:tcBorders>
              <w:bottom w:val="single" w:sz="2" w:space="0" w:color="FFFFFF" w:themeColor="background1"/>
            </w:tcBorders>
            <w:shd w:val="clear" w:color="auto" w:fill="F0F0F0"/>
            <w:tcMar>
              <w:left w:w="72" w:type="dxa"/>
              <w:right w:w="72" w:type="dxa"/>
            </w:tcMar>
            <w:vAlign w:val="center"/>
          </w:tcPr>
          <w:p w14:paraId="4DA76DDF" w14:textId="77777777" w:rsidR="0038452F" w:rsidRPr="00B27CFA" w:rsidRDefault="0038452F" w:rsidP="00B93969">
            <w:pPr>
              <w:pStyle w:val="Brandedtblcel"/>
              <w:ind w:left="-73"/>
              <w:jc w:val="right"/>
              <w:rPr>
                <w:rFonts w:eastAsia="Arial"/>
                <w:vertAlign w:val="superscript"/>
              </w:rPr>
            </w:pPr>
            <w:r w:rsidRPr="00B27CFA">
              <w:rPr>
                <w:rFonts w:eastAsia="Arial"/>
              </w:rPr>
              <w:t>Within 20% of true value</w:t>
            </w:r>
            <w:r w:rsidRPr="00B27CFA">
              <w:rPr>
                <w:rFonts w:eastAsia="Arial"/>
                <w:vertAlign w:val="superscript"/>
              </w:rPr>
              <w:t>3</w:t>
            </w:r>
          </w:p>
        </w:tc>
      </w:tr>
      <w:tr w:rsidR="0038452F" w:rsidRPr="00B27CFA" w14:paraId="44A026A0" w14:textId="77777777" w:rsidTr="0038452F">
        <w:trPr>
          <w:cantSplit/>
          <w:trHeight w:val="374"/>
        </w:trPr>
        <w:tc>
          <w:tcPr>
            <w:tcW w:w="1854" w:type="dxa"/>
            <w:shd w:val="clear" w:color="auto" w:fill="E6EBF7"/>
            <w:tcMar>
              <w:left w:w="72" w:type="dxa"/>
              <w:right w:w="72" w:type="dxa"/>
            </w:tcMar>
            <w:vAlign w:val="center"/>
          </w:tcPr>
          <w:p w14:paraId="4007859C" w14:textId="77777777" w:rsidR="0038452F" w:rsidRPr="00B27CFA" w:rsidRDefault="0038452F" w:rsidP="00B93969">
            <w:pPr>
              <w:pStyle w:val="Brandedtblcel"/>
              <w:jc w:val="center"/>
              <w:rPr>
                <w:rFonts w:eastAsia="Arial"/>
                <w:b/>
                <w:bCs/>
              </w:rPr>
            </w:pPr>
            <w:r w:rsidRPr="00B27CFA">
              <w:rPr>
                <w:rFonts w:eastAsia="Arial"/>
              </w:rPr>
              <w:t>Precision</w:t>
            </w:r>
          </w:p>
        </w:tc>
        <w:tc>
          <w:tcPr>
            <w:tcW w:w="2801" w:type="dxa"/>
            <w:shd w:val="clear" w:color="auto" w:fill="E6EBF7"/>
            <w:tcMar>
              <w:left w:w="72" w:type="dxa"/>
              <w:right w:w="72" w:type="dxa"/>
            </w:tcMar>
            <w:vAlign w:val="center"/>
          </w:tcPr>
          <w:p w14:paraId="7B9D82D1" w14:textId="77777777" w:rsidR="0038452F" w:rsidRPr="00B27CFA" w:rsidRDefault="0038452F" w:rsidP="00B93969">
            <w:pPr>
              <w:pStyle w:val="Brandedtblcel"/>
              <w:ind w:left="-40" w:right="114"/>
              <w:rPr>
                <w:rFonts w:eastAsia="Arial"/>
              </w:rPr>
            </w:pPr>
            <w:r w:rsidRPr="00B27CFA">
              <w:rPr>
                <w:rFonts w:eastAsia="Arial"/>
              </w:rPr>
              <w:t>Repeatability of sensor measurements</w:t>
            </w:r>
          </w:p>
        </w:tc>
        <w:tc>
          <w:tcPr>
            <w:tcW w:w="1566" w:type="dxa"/>
            <w:shd w:val="clear" w:color="auto" w:fill="E6EBF7"/>
            <w:noWrap/>
            <w:tcMar>
              <w:left w:w="72" w:type="dxa"/>
              <w:right w:w="72" w:type="dxa"/>
            </w:tcMar>
            <w:vAlign w:val="center"/>
          </w:tcPr>
          <w:p w14:paraId="64B08143" w14:textId="77777777" w:rsidR="0038452F" w:rsidRPr="00B27CFA" w:rsidRDefault="0038452F" w:rsidP="00B93969">
            <w:pPr>
              <w:pStyle w:val="Brandedtblcel"/>
              <w:ind w:left="-55"/>
              <w:jc w:val="right"/>
              <w:rPr>
                <w:rFonts w:eastAsia="Arial"/>
              </w:rPr>
            </w:pPr>
            <w:r w:rsidRPr="00B27CFA">
              <w:rPr>
                <w:rFonts w:eastAsia="Arial"/>
              </w:rPr>
              <w:t>≤30% RSD</w:t>
            </w:r>
          </w:p>
        </w:tc>
        <w:tc>
          <w:tcPr>
            <w:tcW w:w="1566" w:type="dxa"/>
            <w:shd w:val="clear" w:color="auto" w:fill="E6EBF7"/>
            <w:tcMar>
              <w:left w:w="72" w:type="dxa"/>
              <w:right w:w="72" w:type="dxa"/>
            </w:tcMar>
            <w:vAlign w:val="center"/>
          </w:tcPr>
          <w:p w14:paraId="625BD28F" w14:textId="77777777" w:rsidR="0038452F" w:rsidRPr="00B27CFA" w:rsidRDefault="0038452F" w:rsidP="00B93969">
            <w:pPr>
              <w:pStyle w:val="Brandedtblcel"/>
              <w:ind w:left="-28"/>
              <w:jc w:val="right"/>
              <w:rPr>
                <w:rFonts w:eastAsia="Arial"/>
              </w:rPr>
            </w:pPr>
            <w:r w:rsidRPr="00B27CFA">
              <w:rPr>
                <w:rFonts w:eastAsia="Arial"/>
              </w:rPr>
              <w:t>≤20-30% RSD</w:t>
            </w:r>
          </w:p>
        </w:tc>
        <w:tc>
          <w:tcPr>
            <w:tcW w:w="1750" w:type="dxa"/>
            <w:shd w:val="clear" w:color="auto" w:fill="E6EBF7"/>
            <w:tcMar>
              <w:left w:w="72" w:type="dxa"/>
              <w:right w:w="72" w:type="dxa"/>
            </w:tcMar>
            <w:vAlign w:val="center"/>
          </w:tcPr>
          <w:p w14:paraId="77A9B560" w14:textId="77777777" w:rsidR="0038452F" w:rsidRPr="00B27CFA" w:rsidRDefault="0038452F" w:rsidP="00B93969">
            <w:pPr>
              <w:pStyle w:val="Brandedtblcel"/>
              <w:ind w:left="-73"/>
              <w:jc w:val="right"/>
              <w:rPr>
                <w:rFonts w:eastAsia="Arial"/>
              </w:rPr>
            </w:pPr>
            <w:r w:rsidRPr="00B27CFA">
              <w:rPr>
                <w:rFonts w:eastAsia="Arial"/>
              </w:rPr>
              <w:t>≤20% RSD</w:t>
            </w:r>
          </w:p>
        </w:tc>
      </w:tr>
      <w:tr w:rsidR="0038452F" w:rsidRPr="00B27CFA" w14:paraId="3125E068" w14:textId="77777777" w:rsidTr="0038452F">
        <w:trPr>
          <w:cantSplit/>
          <w:trHeight w:val="374"/>
        </w:trPr>
        <w:tc>
          <w:tcPr>
            <w:tcW w:w="1854" w:type="dxa"/>
            <w:tcBorders>
              <w:bottom w:val="single" w:sz="2" w:space="0" w:color="FFFFFF" w:themeColor="background1"/>
            </w:tcBorders>
            <w:shd w:val="clear" w:color="auto" w:fill="F0F0F0"/>
            <w:tcMar>
              <w:left w:w="72" w:type="dxa"/>
              <w:right w:w="72" w:type="dxa"/>
            </w:tcMar>
            <w:vAlign w:val="center"/>
          </w:tcPr>
          <w:p w14:paraId="4EF6A09D" w14:textId="77777777" w:rsidR="0038452F" w:rsidRPr="00B27CFA" w:rsidRDefault="0038452F" w:rsidP="00B93969">
            <w:pPr>
              <w:pStyle w:val="Brandedtblcel"/>
              <w:jc w:val="center"/>
              <w:rPr>
                <w:rFonts w:eastAsia="Arial"/>
                <w:b/>
                <w:bCs/>
              </w:rPr>
            </w:pPr>
            <w:r w:rsidRPr="00B27CFA">
              <w:rPr>
                <w:rFonts w:eastAsia="Arial"/>
              </w:rPr>
              <w:t>Range</w:t>
            </w:r>
            <w:r w:rsidRPr="00B27CFA">
              <w:rPr>
                <w:rFonts w:eastAsia="Arial"/>
                <w:vertAlign w:val="superscript"/>
              </w:rPr>
              <w:t>4</w:t>
            </w:r>
          </w:p>
        </w:tc>
        <w:tc>
          <w:tcPr>
            <w:tcW w:w="2801" w:type="dxa"/>
            <w:tcBorders>
              <w:bottom w:val="single" w:sz="2" w:space="0" w:color="FFFFFF" w:themeColor="background1"/>
            </w:tcBorders>
            <w:shd w:val="clear" w:color="auto" w:fill="F0F0F0"/>
            <w:tcMar>
              <w:left w:w="72" w:type="dxa"/>
              <w:right w:w="72" w:type="dxa"/>
            </w:tcMar>
            <w:vAlign w:val="center"/>
          </w:tcPr>
          <w:p w14:paraId="667C94BA" w14:textId="77777777" w:rsidR="0038452F" w:rsidRPr="00B27CFA" w:rsidRDefault="0038452F" w:rsidP="00B93969">
            <w:pPr>
              <w:pStyle w:val="Brandedtblcel"/>
              <w:ind w:left="-40" w:right="114"/>
              <w:rPr>
                <w:rFonts w:eastAsia="Arial"/>
              </w:rPr>
            </w:pPr>
            <w:r w:rsidRPr="00B27CFA">
              <w:rPr>
                <w:rFonts w:eastAsia="Arial"/>
              </w:rPr>
              <w:t>Range of the detection</w:t>
            </w:r>
          </w:p>
        </w:tc>
        <w:tc>
          <w:tcPr>
            <w:tcW w:w="1566" w:type="dxa"/>
            <w:tcBorders>
              <w:bottom w:val="single" w:sz="2" w:space="0" w:color="FFFFFF" w:themeColor="background1"/>
            </w:tcBorders>
            <w:shd w:val="clear" w:color="auto" w:fill="F0F0F0"/>
            <w:noWrap/>
            <w:tcMar>
              <w:left w:w="72" w:type="dxa"/>
              <w:right w:w="72" w:type="dxa"/>
            </w:tcMar>
            <w:vAlign w:val="center"/>
          </w:tcPr>
          <w:p w14:paraId="5462A0C6" w14:textId="77777777" w:rsidR="0038452F" w:rsidRPr="00B27CFA" w:rsidRDefault="0038452F" w:rsidP="00B93969">
            <w:pPr>
              <w:pStyle w:val="Brandedtblcel"/>
              <w:ind w:left="-55"/>
              <w:jc w:val="right"/>
              <w:rPr>
                <w:rFonts w:eastAsia="Arial"/>
              </w:rPr>
            </w:pPr>
            <w:r w:rsidRPr="00B27CFA">
              <w:rPr>
                <w:rFonts w:eastAsia="Arial"/>
              </w:rPr>
              <w:t>2-60 mg N/L</w:t>
            </w:r>
          </w:p>
          <w:p w14:paraId="66BEB9C6" w14:textId="77777777" w:rsidR="0038452F" w:rsidRPr="00B27CFA" w:rsidRDefault="0038452F" w:rsidP="00B93969">
            <w:pPr>
              <w:pStyle w:val="Brandedtblcel"/>
              <w:ind w:left="-55"/>
              <w:jc w:val="right"/>
              <w:rPr>
                <w:rFonts w:eastAsia="Arial"/>
              </w:rPr>
            </w:pPr>
          </w:p>
        </w:tc>
        <w:tc>
          <w:tcPr>
            <w:tcW w:w="1566" w:type="dxa"/>
            <w:tcBorders>
              <w:bottom w:val="single" w:sz="2" w:space="0" w:color="FFFFFF" w:themeColor="background1"/>
            </w:tcBorders>
            <w:shd w:val="clear" w:color="auto" w:fill="F0F0F0"/>
            <w:tcMar>
              <w:left w:w="72" w:type="dxa"/>
              <w:right w:w="72" w:type="dxa"/>
            </w:tcMar>
            <w:vAlign w:val="center"/>
          </w:tcPr>
          <w:p w14:paraId="3DE9C5B5" w14:textId="77777777" w:rsidR="0038452F" w:rsidRPr="00B27CFA" w:rsidRDefault="0038452F" w:rsidP="00B93969">
            <w:pPr>
              <w:pStyle w:val="Brandedtblcel"/>
              <w:ind w:left="-28"/>
              <w:jc w:val="right"/>
              <w:rPr>
                <w:rFonts w:eastAsia="Arial"/>
              </w:rPr>
            </w:pPr>
            <w:r w:rsidRPr="00B27CFA">
              <w:rPr>
                <w:rFonts w:eastAsia="Arial"/>
              </w:rPr>
              <w:t>2-60 mg N/L</w:t>
            </w:r>
          </w:p>
          <w:p w14:paraId="4C52965B" w14:textId="77777777" w:rsidR="0038452F" w:rsidRPr="00B27CFA" w:rsidRDefault="0038452F" w:rsidP="00B93969">
            <w:pPr>
              <w:pStyle w:val="Brandedtblcel"/>
              <w:ind w:left="-28"/>
              <w:jc w:val="right"/>
              <w:rPr>
                <w:rFonts w:eastAsia="Arial"/>
              </w:rPr>
            </w:pPr>
            <w:r w:rsidRPr="00B27CFA">
              <w:rPr>
                <w:rFonts w:eastAsia="Arial"/>
              </w:rPr>
              <w:t>2-60 mg/L TOC</w:t>
            </w:r>
          </w:p>
        </w:tc>
        <w:tc>
          <w:tcPr>
            <w:tcW w:w="1750" w:type="dxa"/>
            <w:tcBorders>
              <w:bottom w:val="single" w:sz="2" w:space="0" w:color="FFFFFF" w:themeColor="background1"/>
            </w:tcBorders>
            <w:shd w:val="clear" w:color="auto" w:fill="F0F0F0"/>
            <w:tcMar>
              <w:left w:w="72" w:type="dxa"/>
              <w:right w:w="72" w:type="dxa"/>
            </w:tcMar>
            <w:vAlign w:val="center"/>
          </w:tcPr>
          <w:p w14:paraId="175F0697" w14:textId="77777777" w:rsidR="0038452F" w:rsidRPr="00B27CFA" w:rsidRDefault="0038452F" w:rsidP="00B93969">
            <w:pPr>
              <w:pStyle w:val="Brandedtblcel"/>
              <w:ind w:left="-73"/>
              <w:jc w:val="right"/>
              <w:rPr>
                <w:rFonts w:eastAsia="Arial"/>
              </w:rPr>
            </w:pPr>
            <w:r w:rsidRPr="00B27CFA">
              <w:rPr>
                <w:rFonts w:eastAsia="Arial"/>
              </w:rPr>
              <w:t>2-60 mg N/L</w:t>
            </w:r>
          </w:p>
          <w:p w14:paraId="338C870E" w14:textId="77777777" w:rsidR="0038452F" w:rsidRPr="00B27CFA" w:rsidRDefault="0038452F" w:rsidP="00B93969">
            <w:pPr>
              <w:pStyle w:val="Brandedtblcel"/>
              <w:ind w:left="-73"/>
              <w:jc w:val="right"/>
              <w:rPr>
                <w:rFonts w:eastAsia="Arial"/>
              </w:rPr>
            </w:pPr>
          </w:p>
        </w:tc>
      </w:tr>
      <w:tr w:rsidR="0001014E" w:rsidRPr="00B27CFA" w14:paraId="310AA789" w14:textId="77777777" w:rsidTr="00077CD4">
        <w:trPr>
          <w:cantSplit/>
          <w:trHeight w:val="374"/>
        </w:trPr>
        <w:tc>
          <w:tcPr>
            <w:tcW w:w="1854" w:type="dxa"/>
            <w:tcBorders>
              <w:bottom w:val="single" w:sz="2" w:space="0" w:color="FFFFFF" w:themeColor="background1"/>
            </w:tcBorders>
            <w:shd w:val="clear" w:color="auto" w:fill="FFFF00"/>
            <w:tcMar>
              <w:left w:w="72" w:type="dxa"/>
              <w:right w:w="72" w:type="dxa"/>
            </w:tcMar>
            <w:vAlign w:val="center"/>
          </w:tcPr>
          <w:p w14:paraId="151EB1BA" w14:textId="77777777" w:rsidR="0001014E" w:rsidRPr="00B27CFA" w:rsidRDefault="0001014E" w:rsidP="0001014E">
            <w:pPr>
              <w:pStyle w:val="Brandedtblcel"/>
              <w:jc w:val="center"/>
              <w:rPr>
                <w:rFonts w:eastAsia="Arial"/>
              </w:rPr>
            </w:pPr>
            <w:r w:rsidRPr="00B27CFA">
              <w:rPr>
                <w:rFonts w:eastAsia="Arial"/>
              </w:rPr>
              <w:t>Frequency of Sensor Readings</w:t>
            </w:r>
            <w:r w:rsidRPr="00B27CFA">
              <w:rPr>
                <w:rFonts w:eastAsia="Arial"/>
                <w:vertAlign w:val="superscript"/>
              </w:rPr>
              <w:t>5</w:t>
            </w:r>
          </w:p>
        </w:tc>
        <w:tc>
          <w:tcPr>
            <w:tcW w:w="2801" w:type="dxa"/>
            <w:tcBorders>
              <w:bottom w:val="single" w:sz="2" w:space="0" w:color="FFFFFF" w:themeColor="background1"/>
            </w:tcBorders>
            <w:shd w:val="clear" w:color="auto" w:fill="FFFF00"/>
            <w:tcMar>
              <w:left w:w="72" w:type="dxa"/>
              <w:right w:w="72" w:type="dxa"/>
            </w:tcMar>
            <w:vAlign w:val="center"/>
          </w:tcPr>
          <w:p w14:paraId="5594EC09" w14:textId="77777777" w:rsidR="0001014E" w:rsidRPr="00B27CFA" w:rsidRDefault="0001014E" w:rsidP="0001014E">
            <w:pPr>
              <w:pStyle w:val="Brandedtblcel"/>
              <w:ind w:left="-40" w:right="114"/>
              <w:rPr>
                <w:rFonts w:eastAsia="Arial"/>
              </w:rPr>
            </w:pPr>
            <w:r w:rsidRPr="00B27CFA">
              <w:rPr>
                <w:rFonts w:eastAsia="Arial"/>
              </w:rPr>
              <w:t>Capability of the sensor to provide parameter concentrations at time frequencies of:</w:t>
            </w:r>
          </w:p>
        </w:tc>
        <w:tc>
          <w:tcPr>
            <w:tcW w:w="1566" w:type="dxa"/>
            <w:tcBorders>
              <w:bottom w:val="single" w:sz="2" w:space="0" w:color="FFFFFF" w:themeColor="background1"/>
            </w:tcBorders>
            <w:shd w:val="clear" w:color="auto" w:fill="FFFF00"/>
            <w:noWrap/>
            <w:tcMar>
              <w:left w:w="72" w:type="dxa"/>
              <w:right w:w="72" w:type="dxa"/>
            </w:tcMar>
            <w:vAlign w:val="center"/>
          </w:tcPr>
          <w:p w14:paraId="4D2FE957" w14:textId="231104CC" w:rsidR="0001014E" w:rsidRPr="00B27CFA" w:rsidRDefault="0001014E" w:rsidP="0001014E">
            <w:pPr>
              <w:pStyle w:val="Brandedtblcel"/>
              <w:ind w:left="-55"/>
              <w:jc w:val="right"/>
              <w:rPr>
                <w:rFonts w:eastAsia="Arial"/>
              </w:rPr>
            </w:pPr>
            <w:r>
              <w:rPr>
                <w:rFonts w:eastAsia="Arial"/>
              </w:rPr>
              <w:t>Hourly</w:t>
            </w:r>
            <w:r>
              <w:rPr>
                <w:rFonts w:eastAsia="Arial"/>
                <w:vertAlign w:val="superscript"/>
              </w:rPr>
              <w:t>5</w:t>
            </w:r>
          </w:p>
        </w:tc>
        <w:tc>
          <w:tcPr>
            <w:tcW w:w="1566" w:type="dxa"/>
            <w:tcBorders>
              <w:bottom w:val="single" w:sz="2" w:space="0" w:color="FFFFFF" w:themeColor="background1"/>
            </w:tcBorders>
            <w:shd w:val="clear" w:color="auto" w:fill="FFFF00"/>
            <w:tcMar>
              <w:left w:w="72" w:type="dxa"/>
              <w:right w:w="72" w:type="dxa"/>
            </w:tcMar>
            <w:vAlign w:val="center"/>
          </w:tcPr>
          <w:p w14:paraId="421780CD" w14:textId="7A4702B6" w:rsidR="0001014E" w:rsidRPr="00B27CFA" w:rsidRDefault="0001014E" w:rsidP="0001014E">
            <w:pPr>
              <w:pStyle w:val="Brandedtblcel"/>
              <w:ind w:left="-28"/>
              <w:jc w:val="right"/>
              <w:rPr>
                <w:rFonts w:eastAsia="Arial"/>
              </w:rPr>
            </w:pPr>
            <w:r>
              <w:rPr>
                <w:rFonts w:eastAsia="Arial"/>
              </w:rPr>
              <w:t>Hourly</w:t>
            </w:r>
            <w:r>
              <w:rPr>
                <w:rFonts w:eastAsia="Arial"/>
                <w:vertAlign w:val="superscript"/>
              </w:rPr>
              <w:t>5</w:t>
            </w:r>
          </w:p>
        </w:tc>
        <w:tc>
          <w:tcPr>
            <w:tcW w:w="1750" w:type="dxa"/>
            <w:tcBorders>
              <w:bottom w:val="single" w:sz="2" w:space="0" w:color="FFFFFF" w:themeColor="background1"/>
            </w:tcBorders>
            <w:shd w:val="clear" w:color="auto" w:fill="FFFF00"/>
            <w:tcMar>
              <w:left w:w="72" w:type="dxa"/>
              <w:right w:w="72" w:type="dxa"/>
            </w:tcMar>
            <w:vAlign w:val="center"/>
          </w:tcPr>
          <w:p w14:paraId="1AB51C48" w14:textId="60F1492B" w:rsidR="0001014E" w:rsidRPr="00B27CFA" w:rsidRDefault="0001014E" w:rsidP="0001014E">
            <w:pPr>
              <w:pStyle w:val="Brandedtblcel"/>
              <w:ind w:left="-73"/>
              <w:jc w:val="center"/>
              <w:rPr>
                <w:rFonts w:eastAsia="Arial"/>
              </w:rPr>
            </w:pPr>
            <w:r>
              <w:rPr>
                <w:rFonts w:eastAsia="Arial"/>
              </w:rPr>
              <w:t>Hourly</w:t>
            </w:r>
            <w:r>
              <w:rPr>
                <w:rFonts w:eastAsia="Arial"/>
                <w:vertAlign w:val="superscript"/>
              </w:rPr>
              <w:t>5</w:t>
            </w:r>
          </w:p>
        </w:tc>
      </w:tr>
      <w:tr w:rsidR="0038452F" w:rsidRPr="00B27CFA" w14:paraId="4AAB7E16" w14:textId="77777777" w:rsidTr="0038452F">
        <w:trPr>
          <w:cantSplit/>
          <w:trHeight w:val="374"/>
        </w:trPr>
        <w:tc>
          <w:tcPr>
            <w:tcW w:w="1854" w:type="dxa"/>
            <w:tcBorders>
              <w:bottom w:val="single" w:sz="2" w:space="0" w:color="FFFFFF" w:themeColor="background1"/>
            </w:tcBorders>
            <w:shd w:val="clear" w:color="auto" w:fill="F0F0F0"/>
            <w:tcMar>
              <w:left w:w="72" w:type="dxa"/>
              <w:right w:w="72" w:type="dxa"/>
            </w:tcMar>
            <w:vAlign w:val="center"/>
          </w:tcPr>
          <w:p w14:paraId="00CA0126" w14:textId="77777777" w:rsidR="0038452F" w:rsidRPr="00B27CFA" w:rsidRDefault="0038452F" w:rsidP="00B93969">
            <w:pPr>
              <w:pStyle w:val="Brandedtblcel"/>
              <w:jc w:val="center"/>
              <w:rPr>
                <w:rFonts w:eastAsia="Arial"/>
              </w:rPr>
            </w:pPr>
            <w:r w:rsidRPr="00B27CFA">
              <w:rPr>
                <w:rFonts w:eastAsia="Arial"/>
              </w:rPr>
              <w:lastRenderedPageBreak/>
              <w:t>Sensor Operating Temperature Range</w:t>
            </w:r>
          </w:p>
        </w:tc>
        <w:tc>
          <w:tcPr>
            <w:tcW w:w="2801" w:type="dxa"/>
            <w:tcBorders>
              <w:bottom w:val="single" w:sz="2" w:space="0" w:color="FFFFFF" w:themeColor="background1"/>
            </w:tcBorders>
            <w:shd w:val="clear" w:color="auto" w:fill="F0F0F0"/>
            <w:tcMar>
              <w:left w:w="72" w:type="dxa"/>
              <w:right w:w="72" w:type="dxa"/>
            </w:tcMar>
            <w:vAlign w:val="center"/>
          </w:tcPr>
          <w:p w14:paraId="609AC221" w14:textId="77777777" w:rsidR="0038452F" w:rsidRPr="00B27CFA" w:rsidRDefault="0038452F" w:rsidP="00B93969">
            <w:pPr>
              <w:pStyle w:val="Brandedtblcel"/>
              <w:ind w:left="-40" w:right="114"/>
              <w:rPr>
                <w:rFonts w:eastAsia="Arial"/>
              </w:rPr>
            </w:pPr>
            <w:r w:rsidRPr="00B27CFA">
              <w:rPr>
                <w:rFonts w:eastAsia="Arial"/>
              </w:rPr>
              <w:t>Temperature range in which the sensor can operate</w:t>
            </w:r>
          </w:p>
        </w:tc>
        <w:tc>
          <w:tcPr>
            <w:tcW w:w="1566" w:type="dxa"/>
            <w:tcBorders>
              <w:bottom w:val="single" w:sz="2" w:space="0" w:color="FFFFFF" w:themeColor="background1"/>
            </w:tcBorders>
            <w:shd w:val="clear" w:color="auto" w:fill="F0F0F0"/>
            <w:noWrap/>
            <w:tcMar>
              <w:left w:w="72" w:type="dxa"/>
              <w:right w:w="72" w:type="dxa"/>
            </w:tcMar>
            <w:vAlign w:val="center"/>
          </w:tcPr>
          <w:p w14:paraId="2C165617" w14:textId="77777777" w:rsidR="0038452F" w:rsidRPr="00B27CFA" w:rsidRDefault="0038452F" w:rsidP="00B93969">
            <w:pPr>
              <w:pStyle w:val="Brandedtblcel"/>
              <w:ind w:left="-55"/>
              <w:jc w:val="right"/>
              <w:rPr>
                <w:rFonts w:eastAsia="Arial"/>
              </w:rPr>
            </w:pPr>
            <w:r w:rsidRPr="00B27CFA">
              <w:rPr>
                <w:rFonts w:eastAsia="Arial"/>
              </w:rPr>
              <w:t>4° C to 35° C</w:t>
            </w:r>
          </w:p>
        </w:tc>
        <w:tc>
          <w:tcPr>
            <w:tcW w:w="1566" w:type="dxa"/>
            <w:tcBorders>
              <w:bottom w:val="single" w:sz="2" w:space="0" w:color="FFFFFF" w:themeColor="background1"/>
            </w:tcBorders>
            <w:shd w:val="clear" w:color="auto" w:fill="F0F0F0"/>
            <w:tcMar>
              <w:left w:w="72" w:type="dxa"/>
              <w:right w:w="72" w:type="dxa"/>
            </w:tcMar>
            <w:vAlign w:val="center"/>
          </w:tcPr>
          <w:p w14:paraId="6FF17716" w14:textId="77777777" w:rsidR="0038452F" w:rsidRPr="00B27CFA" w:rsidRDefault="0038452F" w:rsidP="00B93969">
            <w:pPr>
              <w:pStyle w:val="Brandedtblcel"/>
              <w:ind w:left="-28"/>
              <w:jc w:val="right"/>
              <w:rPr>
                <w:rFonts w:eastAsia="Arial"/>
              </w:rPr>
            </w:pPr>
            <w:r w:rsidRPr="00B27CFA">
              <w:rPr>
                <w:rFonts w:eastAsia="Arial"/>
              </w:rPr>
              <w:t>4° C to 35° C</w:t>
            </w:r>
          </w:p>
        </w:tc>
        <w:tc>
          <w:tcPr>
            <w:tcW w:w="1750" w:type="dxa"/>
            <w:tcBorders>
              <w:bottom w:val="single" w:sz="2" w:space="0" w:color="FFFFFF" w:themeColor="background1"/>
            </w:tcBorders>
            <w:shd w:val="clear" w:color="auto" w:fill="F0F0F0"/>
            <w:tcMar>
              <w:left w:w="72" w:type="dxa"/>
              <w:right w:w="72" w:type="dxa"/>
            </w:tcMar>
            <w:vAlign w:val="center"/>
          </w:tcPr>
          <w:p w14:paraId="1D7272D1" w14:textId="77777777" w:rsidR="0038452F" w:rsidRPr="00B27CFA" w:rsidRDefault="0038452F" w:rsidP="00B93969">
            <w:pPr>
              <w:pStyle w:val="Brandedtblcel"/>
              <w:ind w:left="-73"/>
              <w:jc w:val="center"/>
              <w:rPr>
                <w:rFonts w:eastAsia="Arial"/>
              </w:rPr>
            </w:pPr>
            <w:r w:rsidRPr="00B27CFA">
              <w:rPr>
                <w:rFonts w:eastAsia="Arial"/>
              </w:rPr>
              <w:t>4° C to 35° C</w:t>
            </w:r>
          </w:p>
        </w:tc>
      </w:tr>
      <w:tr w:rsidR="0038452F" w:rsidRPr="00B27CFA" w14:paraId="717AB7BA" w14:textId="77777777" w:rsidTr="0038452F">
        <w:trPr>
          <w:cantSplit/>
          <w:trHeight w:val="374"/>
        </w:trPr>
        <w:tc>
          <w:tcPr>
            <w:tcW w:w="1854" w:type="dxa"/>
            <w:tcBorders>
              <w:bottom w:val="single" w:sz="2" w:space="0" w:color="FFFFFF" w:themeColor="background1"/>
            </w:tcBorders>
            <w:shd w:val="clear" w:color="auto" w:fill="E6EBF7"/>
            <w:tcMar>
              <w:left w:w="72" w:type="dxa"/>
              <w:right w:w="72" w:type="dxa"/>
            </w:tcMar>
            <w:vAlign w:val="center"/>
          </w:tcPr>
          <w:p w14:paraId="3010FABE" w14:textId="77777777" w:rsidR="0038452F" w:rsidRPr="00B27CFA" w:rsidRDefault="0038452F" w:rsidP="00B93969">
            <w:pPr>
              <w:pStyle w:val="Brandedtblcel"/>
              <w:jc w:val="center"/>
              <w:rPr>
                <w:rFonts w:eastAsia="Arial"/>
                <w:b/>
                <w:bCs/>
              </w:rPr>
            </w:pPr>
            <w:r w:rsidRPr="00B27CFA">
              <w:rPr>
                <w:rFonts w:eastAsia="Arial"/>
              </w:rPr>
              <w:t>Deployment</w:t>
            </w:r>
          </w:p>
        </w:tc>
        <w:tc>
          <w:tcPr>
            <w:tcW w:w="2801" w:type="dxa"/>
            <w:tcBorders>
              <w:bottom w:val="single" w:sz="2" w:space="0" w:color="FFFFFF" w:themeColor="background1"/>
            </w:tcBorders>
            <w:shd w:val="clear" w:color="auto" w:fill="E6EBF7"/>
            <w:tcMar>
              <w:left w:w="72" w:type="dxa"/>
              <w:right w:w="72" w:type="dxa"/>
            </w:tcMar>
            <w:vAlign w:val="center"/>
          </w:tcPr>
          <w:p w14:paraId="16702251" w14:textId="77777777" w:rsidR="0038452F" w:rsidRPr="00B27CFA" w:rsidRDefault="0038452F" w:rsidP="00B93969">
            <w:pPr>
              <w:pStyle w:val="Brandedtblcel"/>
              <w:ind w:left="-40" w:right="114"/>
              <w:rPr>
                <w:rFonts w:eastAsia="Arial"/>
                <w:vertAlign w:val="superscript"/>
              </w:rPr>
            </w:pPr>
            <w:r w:rsidRPr="00B27CFA">
              <w:rPr>
                <w:rFonts w:eastAsia="Arial"/>
              </w:rPr>
              <w:t>Period of deployment</w:t>
            </w:r>
          </w:p>
        </w:tc>
        <w:tc>
          <w:tcPr>
            <w:tcW w:w="1566" w:type="dxa"/>
            <w:tcBorders>
              <w:bottom w:val="single" w:sz="2" w:space="0" w:color="FFFFFF" w:themeColor="background1"/>
            </w:tcBorders>
            <w:shd w:val="clear" w:color="auto" w:fill="E6EBF7"/>
            <w:noWrap/>
            <w:tcMar>
              <w:left w:w="72" w:type="dxa"/>
              <w:right w:w="72" w:type="dxa"/>
            </w:tcMar>
            <w:vAlign w:val="center"/>
          </w:tcPr>
          <w:p w14:paraId="66E1485A" w14:textId="77777777" w:rsidR="0038452F" w:rsidRPr="00B27CFA" w:rsidRDefault="0038452F" w:rsidP="00B93969">
            <w:pPr>
              <w:pStyle w:val="Brandedtblcel"/>
              <w:ind w:left="-55"/>
              <w:jc w:val="right"/>
              <w:rPr>
                <w:rFonts w:eastAsia="Arial"/>
              </w:rPr>
            </w:pPr>
            <w:r w:rsidRPr="00B27CFA">
              <w:rPr>
                <w:rFonts w:eastAsia="Arial"/>
              </w:rPr>
              <w:t>Continuous</w:t>
            </w:r>
          </w:p>
        </w:tc>
        <w:tc>
          <w:tcPr>
            <w:tcW w:w="1566" w:type="dxa"/>
            <w:tcBorders>
              <w:bottom w:val="single" w:sz="2" w:space="0" w:color="FFFFFF" w:themeColor="background1"/>
            </w:tcBorders>
            <w:shd w:val="clear" w:color="auto" w:fill="E6EBF7"/>
            <w:tcMar>
              <w:left w:w="72" w:type="dxa"/>
              <w:right w:w="72" w:type="dxa"/>
            </w:tcMar>
            <w:vAlign w:val="center"/>
          </w:tcPr>
          <w:p w14:paraId="6BA1971C" w14:textId="77777777" w:rsidR="0038452F" w:rsidRPr="00B27CFA" w:rsidRDefault="0038452F" w:rsidP="00B93969">
            <w:pPr>
              <w:pStyle w:val="Brandedtblcel"/>
              <w:ind w:left="-28"/>
              <w:jc w:val="right"/>
              <w:rPr>
                <w:rFonts w:eastAsia="Arial"/>
              </w:rPr>
            </w:pPr>
            <w:r w:rsidRPr="00B27CFA">
              <w:rPr>
                <w:rFonts w:eastAsia="Arial"/>
              </w:rPr>
              <w:t>Continuous</w:t>
            </w:r>
          </w:p>
        </w:tc>
        <w:tc>
          <w:tcPr>
            <w:tcW w:w="1750" w:type="dxa"/>
            <w:tcBorders>
              <w:bottom w:val="single" w:sz="2" w:space="0" w:color="FFFFFF" w:themeColor="background1"/>
            </w:tcBorders>
            <w:shd w:val="clear" w:color="auto" w:fill="E6EBF7"/>
            <w:tcMar>
              <w:left w:w="72" w:type="dxa"/>
              <w:right w:w="72" w:type="dxa"/>
            </w:tcMar>
            <w:vAlign w:val="center"/>
          </w:tcPr>
          <w:p w14:paraId="312EF506" w14:textId="77777777" w:rsidR="0038452F" w:rsidRPr="00B27CFA" w:rsidRDefault="0038452F" w:rsidP="00B93969">
            <w:pPr>
              <w:pStyle w:val="Brandedtblcel"/>
              <w:ind w:left="-73"/>
              <w:jc w:val="right"/>
              <w:rPr>
                <w:rFonts w:eastAsia="Arial"/>
              </w:rPr>
            </w:pPr>
            <w:r w:rsidRPr="00B27CFA">
              <w:rPr>
                <w:rFonts w:eastAsia="Arial"/>
              </w:rPr>
              <w:t xml:space="preserve">Continuous </w:t>
            </w:r>
          </w:p>
        </w:tc>
      </w:tr>
      <w:tr w:rsidR="0038452F" w:rsidRPr="00B27CFA" w14:paraId="30718D52" w14:textId="77777777" w:rsidTr="0038452F">
        <w:trPr>
          <w:cantSplit/>
          <w:trHeight w:val="374"/>
        </w:trPr>
        <w:tc>
          <w:tcPr>
            <w:tcW w:w="1854" w:type="dxa"/>
            <w:shd w:val="clear" w:color="auto" w:fill="F0F0F0"/>
            <w:tcMar>
              <w:left w:w="72" w:type="dxa"/>
              <w:right w:w="72" w:type="dxa"/>
            </w:tcMar>
            <w:vAlign w:val="center"/>
          </w:tcPr>
          <w:p w14:paraId="0BE73E87" w14:textId="77777777" w:rsidR="0038452F" w:rsidRPr="00B27CFA" w:rsidRDefault="0038452F" w:rsidP="00B93969">
            <w:pPr>
              <w:pStyle w:val="Brandedtblcel"/>
              <w:jc w:val="center"/>
              <w:rPr>
                <w:rFonts w:eastAsia="Arial"/>
                <w:b/>
                <w:bCs/>
                <w:vertAlign w:val="superscript"/>
              </w:rPr>
            </w:pPr>
            <w:r w:rsidRPr="00B27CFA">
              <w:rPr>
                <w:rFonts w:eastAsia="Arial"/>
              </w:rPr>
              <w:t>System Lifetime</w:t>
            </w:r>
          </w:p>
        </w:tc>
        <w:tc>
          <w:tcPr>
            <w:tcW w:w="2801" w:type="dxa"/>
            <w:tcBorders>
              <w:bottom w:val="single" w:sz="2" w:space="0" w:color="FFFFFF" w:themeColor="background1"/>
            </w:tcBorders>
            <w:shd w:val="clear" w:color="auto" w:fill="F0F0F0"/>
            <w:tcMar>
              <w:left w:w="72" w:type="dxa"/>
              <w:right w:w="72" w:type="dxa"/>
            </w:tcMar>
            <w:vAlign w:val="center"/>
          </w:tcPr>
          <w:p w14:paraId="41568082" w14:textId="77777777" w:rsidR="0038452F" w:rsidRPr="00B27CFA" w:rsidRDefault="0038452F" w:rsidP="00B93969">
            <w:pPr>
              <w:pStyle w:val="Brandedtblcel"/>
              <w:ind w:left="-40" w:right="114"/>
              <w:rPr>
                <w:rFonts w:eastAsia="Arial"/>
                <w:color w:val="000000" w:themeColor="text1"/>
              </w:rPr>
            </w:pPr>
            <w:r w:rsidRPr="00B27CFA">
              <w:rPr>
                <w:rFonts w:eastAsia="Arial"/>
              </w:rPr>
              <w:t>Expected life of sensor</w:t>
            </w:r>
          </w:p>
        </w:tc>
        <w:tc>
          <w:tcPr>
            <w:tcW w:w="1566" w:type="dxa"/>
            <w:tcBorders>
              <w:bottom w:val="single" w:sz="2" w:space="0" w:color="FFFFFF" w:themeColor="background1"/>
            </w:tcBorders>
            <w:shd w:val="clear" w:color="auto" w:fill="F0F0F0"/>
            <w:noWrap/>
            <w:tcMar>
              <w:left w:w="72" w:type="dxa"/>
              <w:right w:w="72" w:type="dxa"/>
            </w:tcMar>
            <w:vAlign w:val="center"/>
          </w:tcPr>
          <w:p w14:paraId="2E8CCF4C" w14:textId="77777777" w:rsidR="0038452F" w:rsidRPr="00B27CFA" w:rsidRDefault="0038452F" w:rsidP="00B93969">
            <w:pPr>
              <w:pStyle w:val="Brandedtblcel"/>
              <w:ind w:left="-55"/>
              <w:jc w:val="right"/>
              <w:rPr>
                <w:rFonts w:eastAsia="Arial"/>
                <w:color w:val="000000" w:themeColor="text1"/>
              </w:rPr>
            </w:pPr>
            <w:r w:rsidRPr="00B27CFA">
              <w:rPr>
                <w:rFonts w:eastAsia="Arial"/>
              </w:rPr>
              <w:t>5 years</w:t>
            </w:r>
          </w:p>
        </w:tc>
        <w:tc>
          <w:tcPr>
            <w:tcW w:w="1566" w:type="dxa"/>
            <w:tcBorders>
              <w:bottom w:val="single" w:sz="2" w:space="0" w:color="FFFFFF" w:themeColor="background1"/>
            </w:tcBorders>
            <w:shd w:val="clear" w:color="auto" w:fill="F0F0F0"/>
            <w:tcMar>
              <w:left w:w="72" w:type="dxa"/>
              <w:right w:w="72" w:type="dxa"/>
            </w:tcMar>
            <w:vAlign w:val="center"/>
          </w:tcPr>
          <w:p w14:paraId="6AF968CE" w14:textId="77777777" w:rsidR="0038452F" w:rsidRPr="00B27CFA" w:rsidRDefault="0038452F" w:rsidP="00B93969">
            <w:pPr>
              <w:pStyle w:val="Brandedtblcel"/>
              <w:ind w:left="-28"/>
              <w:jc w:val="right"/>
              <w:rPr>
                <w:rFonts w:eastAsia="Arial"/>
                <w:color w:val="000000" w:themeColor="text1"/>
              </w:rPr>
            </w:pPr>
            <w:r w:rsidRPr="00B27CFA">
              <w:rPr>
                <w:rFonts w:eastAsia="Arial"/>
              </w:rPr>
              <w:t>5 to 10 years</w:t>
            </w:r>
          </w:p>
        </w:tc>
        <w:tc>
          <w:tcPr>
            <w:tcW w:w="1750" w:type="dxa"/>
            <w:tcBorders>
              <w:bottom w:val="single" w:sz="2" w:space="0" w:color="FFFFFF" w:themeColor="background1"/>
            </w:tcBorders>
            <w:shd w:val="clear" w:color="auto" w:fill="F0F0F0"/>
            <w:tcMar>
              <w:left w:w="72" w:type="dxa"/>
              <w:right w:w="72" w:type="dxa"/>
            </w:tcMar>
            <w:vAlign w:val="center"/>
          </w:tcPr>
          <w:p w14:paraId="7D368AA3" w14:textId="77777777" w:rsidR="0038452F" w:rsidRPr="00B27CFA" w:rsidRDefault="0038452F" w:rsidP="00B93969">
            <w:pPr>
              <w:pStyle w:val="Brandedtblcel"/>
              <w:ind w:left="-73"/>
              <w:jc w:val="right"/>
              <w:rPr>
                <w:rFonts w:eastAsia="Arial"/>
                <w:color w:val="000000" w:themeColor="text1"/>
              </w:rPr>
            </w:pPr>
            <w:r w:rsidRPr="00B27CFA">
              <w:rPr>
                <w:rFonts w:eastAsia="Arial"/>
              </w:rPr>
              <w:t>10 years</w:t>
            </w:r>
          </w:p>
        </w:tc>
      </w:tr>
    </w:tbl>
    <w:p w14:paraId="59E58726" w14:textId="77777777" w:rsidR="0038452F" w:rsidRPr="00B27CFA" w:rsidRDefault="0038452F" w:rsidP="0038452F">
      <w:pPr>
        <w:spacing w:after="0"/>
        <w:rPr>
          <w:sz w:val="16"/>
          <w:szCs w:val="16"/>
        </w:rPr>
      </w:pPr>
      <w:bookmarkStart w:id="5" w:name="_Hlk505696856"/>
      <w:bookmarkEnd w:id="4"/>
      <w:r w:rsidRPr="00B27CFA">
        <w:rPr>
          <w:sz w:val="16"/>
          <w:szCs w:val="16"/>
          <w:vertAlign w:val="superscript"/>
        </w:rPr>
        <w:t>1</w:t>
      </w:r>
      <w:r w:rsidRPr="00B27CFA">
        <w:rPr>
          <w:sz w:val="16"/>
          <w:szCs w:val="16"/>
        </w:rPr>
        <w:t xml:space="preserve"> Refer to Section B1.4 for information on the sources of nitrate (NO</w:t>
      </w:r>
      <w:r w:rsidRPr="00B27CFA">
        <w:rPr>
          <w:sz w:val="16"/>
          <w:szCs w:val="16"/>
          <w:vertAlign w:val="subscript"/>
        </w:rPr>
        <w:t>3</w:t>
      </w:r>
      <w:r w:rsidRPr="00B27CFA">
        <w:rPr>
          <w:sz w:val="16"/>
          <w:szCs w:val="16"/>
          <w:vertAlign w:val="superscript"/>
        </w:rPr>
        <w:t>-</w:t>
      </w:r>
      <w:r w:rsidRPr="00B27CFA">
        <w:rPr>
          <w:sz w:val="16"/>
          <w:szCs w:val="16"/>
        </w:rPr>
        <w:t>), ammonia (NH</w:t>
      </w:r>
      <w:r w:rsidRPr="00B27CFA">
        <w:rPr>
          <w:sz w:val="16"/>
          <w:szCs w:val="16"/>
          <w:vertAlign w:val="subscript"/>
        </w:rPr>
        <w:t>4</w:t>
      </w:r>
      <w:r w:rsidRPr="00B27CFA">
        <w:rPr>
          <w:sz w:val="16"/>
          <w:szCs w:val="16"/>
          <w:vertAlign w:val="superscript"/>
        </w:rPr>
        <w:t>+</w:t>
      </w:r>
      <w:r w:rsidRPr="00B27CFA">
        <w:rPr>
          <w:sz w:val="16"/>
          <w:szCs w:val="16"/>
        </w:rPr>
        <w:t>), and total organic carbon (TOC).</w:t>
      </w:r>
    </w:p>
    <w:p w14:paraId="557E9D50" w14:textId="77777777" w:rsidR="0038452F" w:rsidRPr="00B27CFA" w:rsidRDefault="0038452F" w:rsidP="0038452F">
      <w:pPr>
        <w:spacing w:after="0"/>
        <w:rPr>
          <w:sz w:val="16"/>
          <w:szCs w:val="16"/>
        </w:rPr>
      </w:pPr>
      <w:r w:rsidRPr="00B27CFA">
        <w:rPr>
          <w:sz w:val="16"/>
          <w:szCs w:val="16"/>
          <w:vertAlign w:val="superscript"/>
        </w:rPr>
        <w:t xml:space="preserve">2 </w:t>
      </w:r>
      <w:r w:rsidRPr="00B27CFA">
        <w:rPr>
          <w:sz w:val="16"/>
          <w:szCs w:val="16"/>
        </w:rPr>
        <w:t>Total Nitrogen (TN) is defined as the sum of total kjeldahl nitrogen (ammonia, organic and reduced nitrogen) and nitrate-nitrite.</w:t>
      </w:r>
    </w:p>
    <w:p w14:paraId="7565DE1A" w14:textId="77777777" w:rsidR="0038452F" w:rsidRPr="00B27CFA" w:rsidRDefault="0038452F" w:rsidP="0038452F">
      <w:pPr>
        <w:spacing w:after="0"/>
        <w:rPr>
          <w:sz w:val="16"/>
          <w:szCs w:val="16"/>
        </w:rPr>
      </w:pPr>
      <w:r w:rsidRPr="00B27CFA">
        <w:rPr>
          <w:sz w:val="16"/>
          <w:szCs w:val="16"/>
          <w:vertAlign w:val="superscript"/>
        </w:rPr>
        <w:t>3</w:t>
      </w:r>
      <w:r w:rsidRPr="00B27CFA">
        <w:rPr>
          <w:sz w:val="16"/>
          <w:szCs w:val="16"/>
        </w:rPr>
        <w:t xml:space="preserve"> True value is defined as the certified laboratory result for the parameter using approved test methods.</w:t>
      </w:r>
    </w:p>
    <w:p w14:paraId="600675B1" w14:textId="77777777" w:rsidR="0038452F" w:rsidRPr="00B27CFA" w:rsidRDefault="0038452F" w:rsidP="0038452F">
      <w:pPr>
        <w:spacing w:after="0"/>
        <w:rPr>
          <w:sz w:val="16"/>
          <w:szCs w:val="16"/>
        </w:rPr>
      </w:pPr>
      <w:r w:rsidRPr="00B27CFA">
        <w:rPr>
          <w:sz w:val="16"/>
          <w:szCs w:val="16"/>
          <w:vertAlign w:val="superscript"/>
        </w:rPr>
        <w:t>4</w:t>
      </w:r>
      <w:r w:rsidRPr="00B27CFA">
        <w:rPr>
          <w:sz w:val="16"/>
          <w:szCs w:val="16"/>
        </w:rPr>
        <w:t xml:space="preserve"> The sensors must be capable of alerting about or otherwise notifying of an over range value.</w:t>
      </w:r>
      <w:bookmarkEnd w:id="5"/>
    </w:p>
    <w:p w14:paraId="0ADE33E4" w14:textId="77777777" w:rsidR="0001014E" w:rsidRPr="00B27CFA" w:rsidRDefault="0001014E" w:rsidP="0001014E">
      <w:pPr>
        <w:spacing w:after="0"/>
        <w:rPr>
          <w:sz w:val="16"/>
          <w:szCs w:val="16"/>
        </w:rPr>
      </w:pPr>
      <w:bookmarkStart w:id="6" w:name="_Hlk10111052"/>
      <w:r w:rsidRPr="00B27CFA">
        <w:rPr>
          <w:sz w:val="16"/>
          <w:szCs w:val="16"/>
          <w:vertAlign w:val="superscript"/>
        </w:rPr>
        <w:t>5</w:t>
      </w:r>
      <w:r w:rsidRPr="00B27CFA">
        <w:rPr>
          <w:sz w:val="16"/>
          <w:szCs w:val="16"/>
        </w:rPr>
        <w:t xml:space="preserve"> Frequency of sensor readings during the preliminary and 6-month testing are detailed in Section B1.2. For deployment in an actual application, sensor frequency readings will depend on end user needs and may vary</w:t>
      </w:r>
      <w:r>
        <w:rPr>
          <w:sz w:val="16"/>
          <w:szCs w:val="16"/>
        </w:rPr>
        <w:t xml:space="preserve"> from hourly to daily </w:t>
      </w:r>
      <w:r w:rsidRPr="0001014E">
        <w:rPr>
          <w:sz w:val="16"/>
          <w:szCs w:val="16"/>
          <w:highlight w:val="yellow"/>
        </w:rPr>
        <w:t>or more frequently than hourly</w:t>
      </w:r>
      <w:r w:rsidRPr="00B27CFA">
        <w:rPr>
          <w:sz w:val="16"/>
          <w:szCs w:val="16"/>
        </w:rPr>
        <w:t xml:space="preserve">. </w:t>
      </w:r>
      <w:r>
        <w:rPr>
          <w:sz w:val="16"/>
          <w:szCs w:val="16"/>
        </w:rPr>
        <w:t>Sensors should have the flexibility for varying frequency of readings.</w:t>
      </w:r>
    </w:p>
    <w:bookmarkEnd w:id="6"/>
    <w:p w14:paraId="1ABDAD20" w14:textId="77777777" w:rsidR="005B5C1B" w:rsidRDefault="005B5C1B" w:rsidP="005B5C1B">
      <w:pPr>
        <w:spacing w:after="0" w:line="240" w:lineRule="auto"/>
        <w:rPr>
          <w:rFonts w:ascii="Open Sans" w:eastAsia="Times New Roman" w:hAnsi="Open Sans" w:cs="Times New Roman"/>
          <w:color w:val="222222"/>
          <w:sz w:val="24"/>
          <w:szCs w:val="24"/>
          <w:lang w:val="en"/>
        </w:rPr>
      </w:pPr>
    </w:p>
    <w:p w14:paraId="66C3B53D" w14:textId="4FB02B22" w:rsidR="00DC0049" w:rsidRDefault="00DC0049" w:rsidP="005B5C1B">
      <w:pPr>
        <w:spacing w:after="0" w:line="240" w:lineRule="auto"/>
        <w:rPr>
          <w:rFonts w:ascii="Open Sans" w:eastAsia="Times New Roman" w:hAnsi="Open Sans" w:cs="Times New Roman"/>
          <w:color w:val="222222"/>
          <w:sz w:val="24"/>
          <w:szCs w:val="24"/>
          <w:lang w:val="en"/>
        </w:rPr>
      </w:pPr>
      <w:r w:rsidRPr="00DC0049">
        <w:rPr>
          <w:rFonts w:ascii="Open Sans" w:eastAsia="Times New Roman" w:hAnsi="Open Sans" w:cs="Times New Roman"/>
          <w:color w:val="222222"/>
          <w:sz w:val="24"/>
          <w:szCs w:val="24"/>
          <w:lang w:val="en"/>
        </w:rPr>
        <w:t xml:space="preserve">Accordingly, updates have also been made to the table below (Table A-3 of the T/QAP) to revise the subset of performance goals that need to be met for a sensor to advance to </w:t>
      </w:r>
      <w:r w:rsidR="005B5C1B">
        <w:rPr>
          <w:rFonts w:ascii="Open Sans" w:eastAsia="Times New Roman" w:hAnsi="Open Sans" w:cs="Times New Roman"/>
          <w:color w:val="222222"/>
          <w:sz w:val="24"/>
          <w:szCs w:val="24"/>
          <w:lang w:val="en"/>
        </w:rPr>
        <w:t xml:space="preserve">both the one-month preliminary screening test and to </w:t>
      </w:r>
      <w:r w:rsidRPr="00DC0049">
        <w:rPr>
          <w:rFonts w:ascii="Open Sans" w:eastAsia="Times New Roman" w:hAnsi="Open Sans" w:cs="Times New Roman"/>
          <w:color w:val="222222"/>
          <w:sz w:val="24"/>
          <w:szCs w:val="24"/>
          <w:lang w:val="en"/>
        </w:rPr>
        <w:t xml:space="preserve">the </w:t>
      </w:r>
      <w:r w:rsidR="005B5C1B">
        <w:rPr>
          <w:rFonts w:ascii="Open Sans" w:eastAsia="Times New Roman" w:hAnsi="Open Sans" w:cs="Times New Roman"/>
          <w:color w:val="222222"/>
          <w:sz w:val="24"/>
          <w:szCs w:val="24"/>
          <w:lang w:val="en"/>
        </w:rPr>
        <w:t xml:space="preserve">six-month </w:t>
      </w:r>
      <w:r w:rsidRPr="00DC0049">
        <w:rPr>
          <w:rFonts w:ascii="Open Sans" w:eastAsia="Times New Roman" w:hAnsi="Open Sans" w:cs="Times New Roman"/>
          <w:color w:val="222222"/>
          <w:sz w:val="24"/>
          <w:szCs w:val="24"/>
          <w:lang w:val="en"/>
        </w:rPr>
        <w:t xml:space="preserve">field performance test. </w:t>
      </w:r>
    </w:p>
    <w:p w14:paraId="3473A606" w14:textId="77777777" w:rsidR="005B5C1B" w:rsidRDefault="005B5C1B" w:rsidP="005B5C1B">
      <w:pPr>
        <w:spacing w:after="0" w:line="240" w:lineRule="auto"/>
        <w:rPr>
          <w:rFonts w:ascii="Open Sans" w:eastAsia="Times New Roman" w:hAnsi="Open Sans" w:cs="Times New Roman"/>
          <w:color w:val="222222"/>
          <w:sz w:val="24"/>
          <w:szCs w:val="24"/>
          <w:lang w:val="en"/>
        </w:rPr>
      </w:pPr>
    </w:p>
    <w:p w14:paraId="100B5CE8" w14:textId="17FA85D4" w:rsidR="0038452F" w:rsidRPr="00B27CFA" w:rsidRDefault="0038452F" w:rsidP="0038452F">
      <w:pPr>
        <w:pStyle w:val="Brandedcaptiontable"/>
      </w:pPr>
      <w:bookmarkStart w:id="7" w:name="_Toc532466118"/>
      <w:r w:rsidRPr="00B27CFA">
        <w:t>Table A-3</w:t>
      </w:r>
      <w:r w:rsidR="005B5C1B">
        <w:t xml:space="preserve"> of the T/QAP</w:t>
      </w:r>
      <w:r w:rsidRPr="00B27CFA">
        <w:t>. Subset of Sensor Performance Goals for Moving Forward to the Field Performance Test</w:t>
      </w:r>
      <w:bookmarkEnd w:id="7"/>
    </w:p>
    <w:tbl>
      <w:tblPr>
        <w:tblW w:w="9346" w:type="dxa"/>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top w:w="14" w:type="dxa"/>
          <w:left w:w="115" w:type="dxa"/>
          <w:bottom w:w="14" w:type="dxa"/>
          <w:right w:w="115" w:type="dxa"/>
        </w:tblCellMar>
        <w:tblLook w:val="04A0" w:firstRow="1" w:lastRow="0" w:firstColumn="1" w:lastColumn="0" w:noHBand="0" w:noVBand="1"/>
      </w:tblPr>
      <w:tblGrid>
        <w:gridCol w:w="3023"/>
        <w:gridCol w:w="6323"/>
      </w:tblGrid>
      <w:tr w:rsidR="0038452F" w:rsidRPr="00B27CFA" w14:paraId="79A16A74" w14:textId="77777777" w:rsidTr="0038452F">
        <w:trPr>
          <w:cantSplit/>
          <w:trHeight w:val="769"/>
          <w:tblHeader/>
          <w:jc w:val="center"/>
        </w:trPr>
        <w:tc>
          <w:tcPr>
            <w:tcW w:w="3023" w:type="dxa"/>
            <w:shd w:val="clear" w:color="auto" w:fill="0076BE"/>
            <w:noWrap/>
            <w:tcMar>
              <w:left w:w="72" w:type="dxa"/>
              <w:right w:w="72" w:type="dxa"/>
            </w:tcMar>
            <w:vAlign w:val="center"/>
          </w:tcPr>
          <w:p w14:paraId="30E5DDFC" w14:textId="77777777" w:rsidR="0038452F" w:rsidRPr="00B27CFA" w:rsidRDefault="0038452F" w:rsidP="00B93969">
            <w:pPr>
              <w:pStyle w:val="Brandedtblhead"/>
              <w:jc w:val="center"/>
            </w:pPr>
            <w:bookmarkStart w:id="8" w:name="_Hlk501388828"/>
            <w:r w:rsidRPr="00B27CFA">
              <w:t>Attribute</w:t>
            </w:r>
          </w:p>
        </w:tc>
        <w:tc>
          <w:tcPr>
            <w:tcW w:w="6323" w:type="dxa"/>
            <w:shd w:val="clear" w:color="auto" w:fill="0076BE"/>
            <w:noWrap/>
            <w:tcMar>
              <w:left w:w="72" w:type="dxa"/>
              <w:right w:w="72" w:type="dxa"/>
            </w:tcMar>
          </w:tcPr>
          <w:p w14:paraId="7D81DA52" w14:textId="77777777" w:rsidR="0038452F" w:rsidRPr="00B27CFA" w:rsidRDefault="0038452F" w:rsidP="00B93969">
            <w:pPr>
              <w:pStyle w:val="Brandedtblhead"/>
              <w:jc w:val="center"/>
            </w:pPr>
            <w:r w:rsidRPr="00B27CFA">
              <w:t>Performance Goals to Determine Field Performance Test Invitation</w:t>
            </w:r>
          </w:p>
        </w:tc>
      </w:tr>
      <w:tr w:rsidR="0038452F" w:rsidRPr="00B27CFA" w14:paraId="625BFA2E" w14:textId="77777777" w:rsidTr="0038452F">
        <w:trPr>
          <w:cantSplit/>
          <w:trHeight w:val="374"/>
          <w:jc w:val="center"/>
        </w:trPr>
        <w:tc>
          <w:tcPr>
            <w:tcW w:w="3023" w:type="dxa"/>
            <w:shd w:val="clear" w:color="auto" w:fill="E6EBF7"/>
            <w:noWrap/>
            <w:tcMar>
              <w:left w:w="72" w:type="dxa"/>
              <w:right w:w="72" w:type="dxa"/>
            </w:tcMar>
            <w:vAlign w:val="center"/>
            <w:hideMark/>
          </w:tcPr>
          <w:p w14:paraId="407DEF48" w14:textId="77777777" w:rsidR="0038452F" w:rsidRPr="00B27CFA" w:rsidRDefault="0038452F" w:rsidP="00B93969">
            <w:pPr>
              <w:pStyle w:val="Brandedtblcel"/>
              <w:rPr>
                <w:b/>
                <w:bCs/>
              </w:rPr>
            </w:pPr>
            <w:r w:rsidRPr="00B27CFA">
              <w:t>Parameter</w:t>
            </w:r>
          </w:p>
        </w:tc>
        <w:tc>
          <w:tcPr>
            <w:tcW w:w="6323" w:type="dxa"/>
            <w:shd w:val="clear" w:color="auto" w:fill="E6EBF7"/>
            <w:noWrap/>
            <w:tcMar>
              <w:left w:w="72" w:type="dxa"/>
              <w:right w:w="72" w:type="dxa"/>
            </w:tcMar>
            <w:vAlign w:val="center"/>
            <w:hideMark/>
          </w:tcPr>
          <w:p w14:paraId="3A5182D6" w14:textId="77777777" w:rsidR="0038452F" w:rsidRPr="00B27CFA" w:rsidRDefault="0038452F" w:rsidP="00B93969">
            <w:pPr>
              <w:pStyle w:val="Brandedtblcel"/>
              <w:spacing w:before="0" w:after="0"/>
              <w:ind w:left="136"/>
            </w:pPr>
            <w:r w:rsidRPr="00B27CFA">
              <w:t xml:space="preserve">Measures </w:t>
            </w:r>
          </w:p>
          <w:p w14:paraId="641511E0" w14:textId="77777777" w:rsidR="0038452F" w:rsidRPr="00B27CFA" w:rsidRDefault="0038452F" w:rsidP="0038452F">
            <w:pPr>
              <w:pStyle w:val="Brandedtblcel"/>
              <w:numPr>
                <w:ilvl w:val="0"/>
                <w:numId w:val="2"/>
              </w:numPr>
              <w:spacing w:before="0" w:after="0"/>
            </w:pPr>
            <w:bookmarkStart w:id="9" w:name="_Hlk501388236"/>
            <w:r w:rsidRPr="00B27CFA">
              <w:t>NH</w:t>
            </w:r>
            <w:r w:rsidRPr="00B27CFA">
              <w:rPr>
                <w:vertAlign w:val="subscript"/>
              </w:rPr>
              <w:t>4</w:t>
            </w:r>
            <w:r w:rsidRPr="00B27CFA">
              <w:rPr>
                <w:vertAlign w:val="superscript"/>
              </w:rPr>
              <w:t>+</w:t>
            </w:r>
            <w:bookmarkEnd w:id="9"/>
            <w:r w:rsidRPr="00B27CFA">
              <w:t xml:space="preserve"> and </w:t>
            </w:r>
            <w:bookmarkStart w:id="10" w:name="_Hlk501388268"/>
            <w:r w:rsidRPr="00B27CFA">
              <w:t>NO</w:t>
            </w:r>
            <w:r w:rsidRPr="00B27CFA">
              <w:rPr>
                <w:vertAlign w:val="subscript"/>
              </w:rPr>
              <w:t>3</w:t>
            </w:r>
            <w:r w:rsidRPr="00B27CFA">
              <w:rPr>
                <w:vertAlign w:val="superscript"/>
              </w:rPr>
              <w:t>-</w:t>
            </w:r>
            <w:r w:rsidRPr="00B27CFA">
              <w:rPr>
                <w:vertAlign w:val="subscript"/>
              </w:rPr>
              <w:t xml:space="preserve"> </w:t>
            </w:r>
            <w:bookmarkEnd w:id="10"/>
            <w:r w:rsidRPr="00B27CFA">
              <w:rPr>
                <w:u w:val="single"/>
              </w:rPr>
              <w:t>or</w:t>
            </w:r>
            <w:r w:rsidRPr="00B27CFA">
              <w:t xml:space="preserve"> </w:t>
            </w:r>
          </w:p>
          <w:p w14:paraId="175B98D1" w14:textId="77777777" w:rsidR="0038452F" w:rsidRPr="00B27CFA" w:rsidRDefault="0038452F" w:rsidP="0038452F">
            <w:pPr>
              <w:pStyle w:val="Brandedtblcel"/>
              <w:numPr>
                <w:ilvl w:val="0"/>
                <w:numId w:val="2"/>
              </w:numPr>
              <w:spacing w:before="0" w:after="0"/>
            </w:pPr>
            <w:r w:rsidRPr="00B27CFA">
              <w:t>NH</w:t>
            </w:r>
            <w:r w:rsidRPr="00B27CFA">
              <w:rPr>
                <w:vertAlign w:val="subscript"/>
              </w:rPr>
              <w:t>4</w:t>
            </w:r>
            <w:r w:rsidRPr="00B27CFA">
              <w:rPr>
                <w:vertAlign w:val="superscript"/>
              </w:rPr>
              <w:t>+</w:t>
            </w:r>
            <w:r w:rsidRPr="00B27CFA">
              <w:t>, NO</w:t>
            </w:r>
            <w:r w:rsidRPr="00B27CFA">
              <w:rPr>
                <w:vertAlign w:val="subscript"/>
              </w:rPr>
              <w:t>3</w:t>
            </w:r>
            <w:r w:rsidRPr="00B27CFA">
              <w:rPr>
                <w:vertAlign w:val="superscript"/>
              </w:rPr>
              <w:t>-</w:t>
            </w:r>
            <w:r w:rsidRPr="00B27CFA">
              <w:t xml:space="preserve">, and TOC </w:t>
            </w:r>
            <w:r w:rsidRPr="00B27CFA">
              <w:rPr>
                <w:u w:val="single"/>
              </w:rPr>
              <w:t>or</w:t>
            </w:r>
            <w:r w:rsidRPr="00B27CFA">
              <w:t xml:space="preserve"> </w:t>
            </w:r>
          </w:p>
          <w:p w14:paraId="3002469E" w14:textId="77777777" w:rsidR="0038452F" w:rsidRPr="00B27CFA" w:rsidRDefault="0038452F" w:rsidP="0038452F">
            <w:pPr>
              <w:pStyle w:val="Brandedtblcel"/>
              <w:numPr>
                <w:ilvl w:val="0"/>
                <w:numId w:val="2"/>
              </w:numPr>
              <w:spacing w:before="0" w:after="0"/>
            </w:pPr>
            <w:r w:rsidRPr="00B27CFA">
              <w:t>TN</w:t>
            </w:r>
          </w:p>
        </w:tc>
      </w:tr>
      <w:tr w:rsidR="0038452F" w:rsidRPr="00B27CFA" w14:paraId="70845B3F" w14:textId="77777777" w:rsidTr="0038452F">
        <w:trPr>
          <w:cantSplit/>
          <w:trHeight w:val="374"/>
          <w:jc w:val="center"/>
        </w:trPr>
        <w:tc>
          <w:tcPr>
            <w:tcW w:w="3023" w:type="dxa"/>
            <w:shd w:val="clear" w:color="auto" w:fill="F0F0F0"/>
            <w:noWrap/>
            <w:tcMar>
              <w:left w:w="72" w:type="dxa"/>
              <w:right w:w="72" w:type="dxa"/>
            </w:tcMar>
            <w:vAlign w:val="center"/>
          </w:tcPr>
          <w:p w14:paraId="7D99AE4B" w14:textId="77777777" w:rsidR="0038452F" w:rsidRPr="00B27CFA" w:rsidRDefault="0038452F" w:rsidP="00B93969">
            <w:pPr>
              <w:pStyle w:val="Brandedtblcel"/>
              <w:rPr>
                <w:b/>
                <w:bCs/>
              </w:rPr>
            </w:pPr>
            <w:r w:rsidRPr="00B27CFA">
              <w:t>Data Management</w:t>
            </w:r>
          </w:p>
        </w:tc>
        <w:tc>
          <w:tcPr>
            <w:tcW w:w="6323" w:type="dxa"/>
            <w:shd w:val="clear" w:color="auto" w:fill="F0F0F0"/>
            <w:noWrap/>
            <w:tcMar>
              <w:left w:w="72" w:type="dxa"/>
              <w:right w:w="72" w:type="dxa"/>
            </w:tcMar>
            <w:vAlign w:val="center"/>
          </w:tcPr>
          <w:p w14:paraId="0BC06F8E" w14:textId="77777777" w:rsidR="0038452F" w:rsidRPr="00B27CFA" w:rsidRDefault="0038452F" w:rsidP="00B93969">
            <w:pPr>
              <w:pStyle w:val="Brandedtblcel"/>
              <w:ind w:left="136"/>
            </w:pPr>
            <w:r w:rsidRPr="00B27CFA">
              <w:t>Internal (local) sensor system data logger successfully collects time stamped data for the screen test</w:t>
            </w:r>
          </w:p>
        </w:tc>
      </w:tr>
      <w:tr w:rsidR="0038452F" w:rsidRPr="00B27CFA" w14:paraId="416C2557" w14:textId="77777777" w:rsidTr="0038452F">
        <w:trPr>
          <w:cantSplit/>
          <w:trHeight w:val="374"/>
          <w:jc w:val="center"/>
        </w:trPr>
        <w:tc>
          <w:tcPr>
            <w:tcW w:w="3023" w:type="dxa"/>
            <w:tcBorders>
              <w:bottom w:val="single" w:sz="2" w:space="0" w:color="FFFFFF" w:themeColor="background1"/>
            </w:tcBorders>
            <w:shd w:val="clear" w:color="auto" w:fill="E6EBF7"/>
            <w:tcMar>
              <w:left w:w="72" w:type="dxa"/>
              <w:right w:w="72" w:type="dxa"/>
            </w:tcMar>
            <w:vAlign w:val="center"/>
          </w:tcPr>
          <w:p w14:paraId="20AD76BA" w14:textId="77777777" w:rsidR="0038452F" w:rsidRPr="00B27CFA" w:rsidRDefault="0038452F" w:rsidP="00B93969">
            <w:pPr>
              <w:pStyle w:val="Brandedtblcel"/>
              <w:rPr>
                <w:b/>
                <w:bCs/>
              </w:rPr>
            </w:pPr>
            <w:r w:rsidRPr="00B27CFA">
              <w:t>Applicability &amp; Accessibility</w:t>
            </w:r>
          </w:p>
        </w:tc>
        <w:tc>
          <w:tcPr>
            <w:tcW w:w="6323" w:type="dxa"/>
            <w:tcBorders>
              <w:bottom w:val="single" w:sz="2" w:space="0" w:color="FFFFFF" w:themeColor="background1"/>
            </w:tcBorders>
            <w:shd w:val="clear" w:color="auto" w:fill="E6EBF7"/>
            <w:noWrap/>
            <w:tcMar>
              <w:left w:w="72" w:type="dxa"/>
              <w:right w:w="72" w:type="dxa"/>
            </w:tcMar>
            <w:vAlign w:val="center"/>
          </w:tcPr>
          <w:p w14:paraId="39B07458" w14:textId="77777777" w:rsidR="0038452F" w:rsidRPr="00B27CFA" w:rsidRDefault="0038452F" w:rsidP="00B93969">
            <w:pPr>
              <w:pStyle w:val="Brandedtblcel"/>
              <w:ind w:left="136"/>
            </w:pPr>
            <w:r w:rsidRPr="00B27CFA">
              <w:t>Meets test size limits and performs under screen test environmental conditions</w:t>
            </w:r>
          </w:p>
        </w:tc>
      </w:tr>
      <w:tr w:rsidR="0038452F" w:rsidRPr="00B27CFA" w14:paraId="220171BC" w14:textId="77777777" w:rsidTr="0038452F">
        <w:trPr>
          <w:cantSplit/>
          <w:trHeight w:val="374"/>
          <w:jc w:val="center"/>
        </w:trPr>
        <w:tc>
          <w:tcPr>
            <w:tcW w:w="3023" w:type="dxa"/>
            <w:shd w:val="clear" w:color="auto" w:fill="F0F0F0"/>
            <w:noWrap/>
            <w:tcMar>
              <w:left w:w="72" w:type="dxa"/>
              <w:right w:w="72" w:type="dxa"/>
            </w:tcMar>
            <w:vAlign w:val="center"/>
          </w:tcPr>
          <w:p w14:paraId="6CE15E7C" w14:textId="77777777" w:rsidR="0038452F" w:rsidRPr="00B27CFA" w:rsidRDefault="0038452F" w:rsidP="00B93969">
            <w:pPr>
              <w:pStyle w:val="Brandedtblcel"/>
              <w:rPr>
                <w:b/>
                <w:bCs/>
              </w:rPr>
            </w:pPr>
            <w:r w:rsidRPr="00B27CFA">
              <w:t>Maintenance</w:t>
            </w:r>
          </w:p>
        </w:tc>
        <w:tc>
          <w:tcPr>
            <w:tcW w:w="6323" w:type="dxa"/>
            <w:shd w:val="clear" w:color="auto" w:fill="F0F0F0"/>
            <w:noWrap/>
            <w:tcMar>
              <w:left w:w="72" w:type="dxa"/>
              <w:right w:w="72" w:type="dxa"/>
            </w:tcMar>
            <w:vAlign w:val="center"/>
          </w:tcPr>
          <w:p w14:paraId="1CF299C2" w14:textId="77777777" w:rsidR="0038452F" w:rsidRPr="00B27CFA" w:rsidRDefault="0038452F" w:rsidP="00B93969">
            <w:pPr>
              <w:spacing w:after="0" w:line="240" w:lineRule="auto"/>
              <w:ind w:left="130"/>
            </w:pPr>
            <w:r w:rsidRPr="0001014E">
              <w:rPr>
                <w:highlight w:val="yellow"/>
              </w:rPr>
              <w:t>No more than one maintenance during the preliminary screening test</w:t>
            </w:r>
            <w:r>
              <w:rPr>
                <w:rFonts w:ascii="Times New Roman" w:hAnsi="Times New Roman" w:cs="Times New Roman"/>
                <w:sz w:val="24"/>
                <w:szCs w:val="24"/>
              </w:rPr>
              <w:t xml:space="preserve"> </w:t>
            </w:r>
          </w:p>
        </w:tc>
      </w:tr>
      <w:tr w:rsidR="0038452F" w:rsidRPr="00B27CFA" w14:paraId="60FDE001" w14:textId="77777777" w:rsidTr="0038452F">
        <w:trPr>
          <w:cantSplit/>
          <w:trHeight w:val="374"/>
          <w:jc w:val="center"/>
        </w:trPr>
        <w:tc>
          <w:tcPr>
            <w:tcW w:w="3023" w:type="dxa"/>
            <w:tcBorders>
              <w:bottom w:val="single" w:sz="2" w:space="0" w:color="FFFFFF" w:themeColor="background1"/>
            </w:tcBorders>
            <w:shd w:val="clear" w:color="auto" w:fill="E6EBF7"/>
            <w:tcMar>
              <w:left w:w="72" w:type="dxa"/>
              <w:right w:w="72" w:type="dxa"/>
            </w:tcMar>
            <w:vAlign w:val="center"/>
          </w:tcPr>
          <w:p w14:paraId="2C74ED00" w14:textId="77777777" w:rsidR="0038452F" w:rsidRPr="00B27CFA" w:rsidRDefault="0038452F" w:rsidP="00B93969">
            <w:pPr>
              <w:pStyle w:val="Brandedtblcel"/>
              <w:rPr>
                <w:b/>
                <w:bCs/>
              </w:rPr>
            </w:pPr>
            <w:r w:rsidRPr="00B27CFA">
              <w:t>Accuracy</w:t>
            </w:r>
          </w:p>
        </w:tc>
        <w:tc>
          <w:tcPr>
            <w:tcW w:w="6323" w:type="dxa"/>
            <w:tcBorders>
              <w:bottom w:val="single" w:sz="2" w:space="0" w:color="FFFFFF" w:themeColor="background1"/>
            </w:tcBorders>
            <w:shd w:val="clear" w:color="auto" w:fill="E6EBF7"/>
            <w:noWrap/>
            <w:tcMar>
              <w:left w:w="72" w:type="dxa"/>
              <w:right w:w="72" w:type="dxa"/>
            </w:tcMar>
            <w:vAlign w:val="center"/>
          </w:tcPr>
          <w:p w14:paraId="1CB4D937" w14:textId="77777777" w:rsidR="0038452F" w:rsidRPr="00B27CFA" w:rsidRDefault="0038452F" w:rsidP="00B93969">
            <w:pPr>
              <w:pStyle w:val="Brandedtblcel"/>
              <w:ind w:left="136"/>
            </w:pPr>
            <w:r w:rsidRPr="00B27CFA">
              <w:t>Within 40% of true value</w:t>
            </w:r>
          </w:p>
        </w:tc>
      </w:tr>
      <w:tr w:rsidR="0038452F" w:rsidRPr="00B27CFA" w14:paraId="71435907" w14:textId="77777777" w:rsidTr="0038452F">
        <w:trPr>
          <w:cantSplit/>
          <w:trHeight w:val="374"/>
          <w:jc w:val="center"/>
        </w:trPr>
        <w:tc>
          <w:tcPr>
            <w:tcW w:w="3023" w:type="dxa"/>
            <w:shd w:val="clear" w:color="auto" w:fill="F0F0F0"/>
            <w:tcMar>
              <w:left w:w="72" w:type="dxa"/>
              <w:right w:w="72" w:type="dxa"/>
            </w:tcMar>
            <w:vAlign w:val="center"/>
          </w:tcPr>
          <w:p w14:paraId="06877C14" w14:textId="77777777" w:rsidR="0038452F" w:rsidRPr="00B27CFA" w:rsidRDefault="0038452F" w:rsidP="00B93969">
            <w:pPr>
              <w:pStyle w:val="Brandedtblcel"/>
              <w:rPr>
                <w:b/>
                <w:bCs/>
              </w:rPr>
            </w:pPr>
            <w:r w:rsidRPr="00B27CFA">
              <w:t>Precision</w:t>
            </w:r>
          </w:p>
        </w:tc>
        <w:tc>
          <w:tcPr>
            <w:tcW w:w="6323" w:type="dxa"/>
            <w:shd w:val="clear" w:color="auto" w:fill="F0F0F0"/>
            <w:noWrap/>
            <w:tcMar>
              <w:left w:w="72" w:type="dxa"/>
              <w:right w:w="72" w:type="dxa"/>
            </w:tcMar>
            <w:vAlign w:val="center"/>
          </w:tcPr>
          <w:p w14:paraId="16AFCC75" w14:textId="77777777" w:rsidR="0038452F" w:rsidRPr="00B27CFA" w:rsidRDefault="0038452F" w:rsidP="00B93969">
            <w:pPr>
              <w:pStyle w:val="Brandedtblcel"/>
              <w:ind w:left="136"/>
            </w:pPr>
            <w:r w:rsidRPr="00B27CFA">
              <w:t>≤40% RSD</w:t>
            </w:r>
          </w:p>
        </w:tc>
      </w:tr>
      <w:tr w:rsidR="0038452F" w:rsidRPr="00B27CFA" w14:paraId="1260E6C9" w14:textId="77777777" w:rsidTr="0038452F">
        <w:trPr>
          <w:cantSplit/>
          <w:trHeight w:val="374"/>
          <w:jc w:val="center"/>
        </w:trPr>
        <w:tc>
          <w:tcPr>
            <w:tcW w:w="3023" w:type="dxa"/>
            <w:tcBorders>
              <w:bottom w:val="single" w:sz="2" w:space="0" w:color="FFFFFF" w:themeColor="background1"/>
            </w:tcBorders>
            <w:shd w:val="clear" w:color="auto" w:fill="E6EBF7"/>
            <w:tcMar>
              <w:left w:w="72" w:type="dxa"/>
              <w:right w:w="72" w:type="dxa"/>
            </w:tcMar>
            <w:vAlign w:val="center"/>
          </w:tcPr>
          <w:p w14:paraId="3FBB480C" w14:textId="77777777" w:rsidR="0038452F" w:rsidRPr="00B27CFA" w:rsidRDefault="0038452F" w:rsidP="00B93969">
            <w:pPr>
              <w:pStyle w:val="Brandedtblcel"/>
              <w:rPr>
                <w:b/>
                <w:bCs/>
              </w:rPr>
            </w:pPr>
            <w:r w:rsidRPr="00B27CFA">
              <w:t>Range</w:t>
            </w:r>
          </w:p>
        </w:tc>
        <w:tc>
          <w:tcPr>
            <w:tcW w:w="6323" w:type="dxa"/>
            <w:tcBorders>
              <w:bottom w:val="single" w:sz="2" w:space="0" w:color="FFFFFF" w:themeColor="background1"/>
            </w:tcBorders>
            <w:shd w:val="clear" w:color="auto" w:fill="E6EBF7"/>
            <w:noWrap/>
            <w:tcMar>
              <w:left w:w="72" w:type="dxa"/>
              <w:right w:w="72" w:type="dxa"/>
            </w:tcMar>
            <w:vAlign w:val="center"/>
          </w:tcPr>
          <w:p w14:paraId="0EC7BA6C" w14:textId="77777777" w:rsidR="0038452F" w:rsidRPr="00B27CFA" w:rsidRDefault="0038452F" w:rsidP="00B93969">
            <w:pPr>
              <w:pStyle w:val="Brandedtblcel"/>
              <w:ind w:left="136"/>
            </w:pPr>
            <w:r w:rsidRPr="00B27CFA">
              <w:t>2-60 mg N/L</w:t>
            </w:r>
          </w:p>
          <w:p w14:paraId="1F476E58" w14:textId="77777777" w:rsidR="0038452F" w:rsidRPr="00B27CFA" w:rsidRDefault="0038452F" w:rsidP="00B93969">
            <w:pPr>
              <w:pStyle w:val="Brandedtblcel"/>
              <w:ind w:left="136"/>
            </w:pPr>
            <w:r w:rsidRPr="00B27CFA">
              <w:t>2-60 mg/L TOC</w:t>
            </w:r>
          </w:p>
        </w:tc>
      </w:tr>
      <w:tr w:rsidR="0038452F" w:rsidRPr="00B27CFA" w14:paraId="37F84EEC" w14:textId="77777777" w:rsidTr="0038452F">
        <w:trPr>
          <w:cantSplit/>
          <w:trHeight w:val="374"/>
          <w:jc w:val="center"/>
        </w:trPr>
        <w:tc>
          <w:tcPr>
            <w:tcW w:w="3023" w:type="dxa"/>
            <w:tcBorders>
              <w:bottom w:val="single" w:sz="2" w:space="0" w:color="FFFFFF" w:themeColor="background1"/>
            </w:tcBorders>
            <w:shd w:val="clear" w:color="auto" w:fill="F0F0F0"/>
            <w:tcMar>
              <w:left w:w="72" w:type="dxa"/>
              <w:right w:w="72" w:type="dxa"/>
            </w:tcMar>
            <w:vAlign w:val="center"/>
          </w:tcPr>
          <w:p w14:paraId="2A826511" w14:textId="77777777" w:rsidR="0038452F" w:rsidRPr="00B27CFA" w:rsidRDefault="0038452F" w:rsidP="00B93969">
            <w:pPr>
              <w:pStyle w:val="Brandedtblcel"/>
              <w:rPr>
                <w:b/>
                <w:bCs/>
              </w:rPr>
            </w:pPr>
            <w:r w:rsidRPr="00B27CFA">
              <w:rPr>
                <w:rFonts w:eastAsia="Arial"/>
              </w:rPr>
              <w:t>Frequency of Sensor Readings</w:t>
            </w:r>
          </w:p>
        </w:tc>
        <w:tc>
          <w:tcPr>
            <w:tcW w:w="6323" w:type="dxa"/>
            <w:tcBorders>
              <w:bottom w:val="single" w:sz="2" w:space="0" w:color="FFFFFF" w:themeColor="background1"/>
            </w:tcBorders>
            <w:shd w:val="clear" w:color="auto" w:fill="F0F0F0"/>
            <w:noWrap/>
            <w:tcMar>
              <w:left w:w="72" w:type="dxa"/>
              <w:right w:w="72" w:type="dxa"/>
            </w:tcMar>
            <w:vAlign w:val="center"/>
          </w:tcPr>
          <w:p w14:paraId="676C11EB" w14:textId="77777777" w:rsidR="0038452F" w:rsidRPr="00B27CFA" w:rsidRDefault="0038452F" w:rsidP="00B93969">
            <w:pPr>
              <w:pStyle w:val="Brandedtblcel"/>
              <w:ind w:left="136"/>
            </w:pPr>
            <w:r w:rsidRPr="00B27CFA">
              <w:t>Capable of high frequency (at least hourly) measurement for the duration of the test</w:t>
            </w:r>
          </w:p>
        </w:tc>
      </w:tr>
      <w:bookmarkEnd w:id="8"/>
    </w:tbl>
    <w:p w14:paraId="288946D2" w14:textId="53B4F285" w:rsidR="00EF6B7F" w:rsidRDefault="00EF6B7F" w:rsidP="005B5C1B"/>
    <w:p w14:paraId="2CC759BF" w14:textId="77777777" w:rsidR="0001014E" w:rsidRDefault="0001014E" w:rsidP="005B5C1B">
      <w:pPr>
        <w:rPr>
          <w:rFonts w:ascii="Open Sans" w:hAnsi="Open Sans"/>
          <w:b/>
          <w:sz w:val="24"/>
          <w:szCs w:val="24"/>
        </w:rPr>
      </w:pPr>
    </w:p>
    <w:p w14:paraId="5FC8B6F3" w14:textId="03213A54" w:rsidR="005B5C1B" w:rsidRDefault="005B5C1B" w:rsidP="005B5C1B">
      <w:pPr>
        <w:rPr>
          <w:rFonts w:ascii="Open Sans" w:hAnsi="Open Sans"/>
          <w:sz w:val="24"/>
          <w:szCs w:val="24"/>
        </w:rPr>
      </w:pPr>
      <w:r w:rsidRPr="005B5C1B">
        <w:rPr>
          <w:rFonts w:ascii="Open Sans" w:hAnsi="Open Sans"/>
          <w:b/>
          <w:sz w:val="24"/>
          <w:szCs w:val="24"/>
        </w:rPr>
        <w:lastRenderedPageBreak/>
        <w:t>Q</w:t>
      </w:r>
      <w:r w:rsidRPr="005B5C1B">
        <w:rPr>
          <w:rFonts w:ascii="Open Sans" w:hAnsi="Open Sans"/>
          <w:sz w:val="24"/>
          <w:szCs w:val="24"/>
        </w:rPr>
        <w:t xml:space="preserve">: </w:t>
      </w:r>
      <w:r>
        <w:rPr>
          <w:rFonts w:ascii="Open Sans" w:hAnsi="Open Sans"/>
          <w:sz w:val="24"/>
          <w:szCs w:val="24"/>
        </w:rPr>
        <w:t>How many tests must the sensor complete to be successful?</w:t>
      </w:r>
    </w:p>
    <w:p w14:paraId="41B912FA" w14:textId="1BEA9664" w:rsidR="005B5C1B" w:rsidRDefault="005B5C1B" w:rsidP="005B5C1B">
      <w:pPr>
        <w:rPr>
          <w:rFonts w:ascii="Open Sans" w:hAnsi="Open Sans"/>
          <w:sz w:val="24"/>
          <w:szCs w:val="24"/>
        </w:rPr>
      </w:pPr>
      <w:r>
        <w:rPr>
          <w:rFonts w:ascii="Open Sans" w:hAnsi="Open Sans"/>
          <w:b/>
          <w:sz w:val="24"/>
          <w:szCs w:val="24"/>
        </w:rPr>
        <w:t xml:space="preserve">A: </w:t>
      </w:r>
      <w:r>
        <w:rPr>
          <w:rFonts w:ascii="Open Sans" w:hAnsi="Open Sans"/>
          <w:sz w:val="24"/>
          <w:szCs w:val="24"/>
        </w:rPr>
        <w:t>There are three levels of testing. The first level is a one-week preliminary screening test according to the test design defined in the first 7-days of Table B-1 of the T/QAP. If the sensor</w:t>
      </w:r>
      <w:r w:rsidR="004F142B">
        <w:rPr>
          <w:rFonts w:ascii="Open Sans" w:hAnsi="Open Sans"/>
          <w:sz w:val="24"/>
          <w:szCs w:val="24"/>
        </w:rPr>
        <w:t xml:space="preserve"> results for the one-week test</w:t>
      </w:r>
      <w:r>
        <w:rPr>
          <w:rFonts w:ascii="Open Sans" w:hAnsi="Open Sans"/>
          <w:sz w:val="24"/>
          <w:szCs w:val="24"/>
        </w:rPr>
        <w:t xml:space="preserve"> meet performance criteria indicated in Table A-3 of the T/QAP, the </w:t>
      </w:r>
      <w:r w:rsidR="004F142B">
        <w:rPr>
          <w:rFonts w:ascii="Open Sans" w:hAnsi="Open Sans"/>
          <w:sz w:val="24"/>
          <w:szCs w:val="24"/>
        </w:rPr>
        <w:t>sensor is invited to proceed to the second level, a one-month preliminary screening test according to the 30-day schedule in Table B-1 of the T/QAP. If the sensor results for the one-month test meet performance criteria indicated in Table A-3 of the T/QAP, the sensor is invited to proceed to the third level, a six-month field performance test.</w:t>
      </w:r>
      <w:r w:rsidR="00077CD4">
        <w:rPr>
          <w:rFonts w:ascii="Open Sans" w:hAnsi="Open Sans"/>
          <w:sz w:val="24"/>
          <w:szCs w:val="24"/>
        </w:rPr>
        <w:t xml:space="preserve"> </w:t>
      </w:r>
      <w:r w:rsidR="00077CD4" w:rsidRPr="00077CD4">
        <w:rPr>
          <w:rFonts w:ascii="Open Sans" w:hAnsi="Open Sans"/>
          <w:sz w:val="24"/>
          <w:szCs w:val="24"/>
          <w:highlight w:val="yellow"/>
        </w:rPr>
        <w:t>Note: This reflects a change since the July 2018 webinar.</w:t>
      </w:r>
    </w:p>
    <w:p w14:paraId="172C4D70" w14:textId="77777777" w:rsidR="005B5C1B" w:rsidRPr="005B5C1B" w:rsidRDefault="005B5C1B" w:rsidP="005B5C1B">
      <w:pPr>
        <w:rPr>
          <w:rFonts w:ascii="Open Sans" w:hAnsi="Open Sans"/>
          <w:sz w:val="24"/>
          <w:szCs w:val="24"/>
        </w:rPr>
      </w:pPr>
    </w:p>
    <w:sectPr w:rsidR="005B5C1B" w:rsidRPr="005B5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3FC5"/>
    <w:multiLevelType w:val="multilevel"/>
    <w:tmpl w:val="769C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4045B"/>
    <w:multiLevelType w:val="hybridMultilevel"/>
    <w:tmpl w:val="81E0EB00"/>
    <w:lvl w:ilvl="0" w:tplc="04090001">
      <w:start w:val="1"/>
      <w:numFmt w:val="bullet"/>
      <w:lvlText w:val=""/>
      <w:lvlJc w:val="left"/>
      <w:pPr>
        <w:ind w:left="496" w:hanging="360"/>
      </w:pPr>
      <w:rPr>
        <w:rFonts w:ascii="Symbol" w:hAnsi="Symbol"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49"/>
    <w:rsid w:val="0001014E"/>
    <w:rsid w:val="00077CD4"/>
    <w:rsid w:val="001218D2"/>
    <w:rsid w:val="0038452F"/>
    <w:rsid w:val="004F142B"/>
    <w:rsid w:val="005B5C1B"/>
    <w:rsid w:val="00643BA5"/>
    <w:rsid w:val="00896F0B"/>
    <w:rsid w:val="00A12A87"/>
    <w:rsid w:val="00C33337"/>
    <w:rsid w:val="00CA2B76"/>
    <w:rsid w:val="00DC0049"/>
    <w:rsid w:val="00E13377"/>
    <w:rsid w:val="00EF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2732"/>
  <w15:chartTrackingRefBased/>
  <w15:docId w15:val="{6C1D573F-8F39-47E2-BE6D-4C84249B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0049"/>
    <w:pPr>
      <w:spacing w:before="161" w:after="16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04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C0049"/>
    <w:rPr>
      <w:color w:val="B8213D"/>
      <w:u w:val="single"/>
      <w:shd w:val="clear" w:color="auto" w:fill="auto"/>
    </w:rPr>
  </w:style>
  <w:style w:type="character" w:styleId="Strong">
    <w:name w:val="Strong"/>
    <w:basedOn w:val="DefaultParagraphFont"/>
    <w:uiPriority w:val="22"/>
    <w:qFormat/>
    <w:rsid w:val="00DC0049"/>
    <w:rPr>
      <w:b/>
      <w:bCs/>
    </w:rPr>
  </w:style>
  <w:style w:type="paragraph" w:customStyle="1" w:styleId="Brandedtblhead">
    <w:name w:val="Branded_tbl_head"/>
    <w:basedOn w:val="Normal"/>
    <w:qFormat/>
    <w:rsid w:val="0038452F"/>
    <w:pPr>
      <w:spacing w:before="120" w:after="40" w:line="240" w:lineRule="auto"/>
    </w:pPr>
    <w:rPr>
      <w:rFonts w:ascii="Arial" w:eastAsia="Calibri" w:hAnsi="Arial" w:cs="Arial"/>
      <w:b/>
      <w:bCs/>
      <w:color w:val="FFFFFF"/>
      <w:sz w:val="20"/>
      <w:szCs w:val="20"/>
    </w:rPr>
  </w:style>
  <w:style w:type="paragraph" w:customStyle="1" w:styleId="Brandedtblcel">
    <w:name w:val="Branded_tbl_cel"/>
    <w:basedOn w:val="Normal"/>
    <w:qFormat/>
    <w:rsid w:val="0038452F"/>
    <w:pPr>
      <w:spacing w:before="80" w:after="40" w:line="240" w:lineRule="auto"/>
    </w:pPr>
    <w:rPr>
      <w:rFonts w:ascii="Arial" w:eastAsia="Calibri" w:hAnsi="Arial" w:cs="Arial"/>
      <w:sz w:val="20"/>
      <w:szCs w:val="20"/>
    </w:rPr>
  </w:style>
  <w:style w:type="paragraph" w:customStyle="1" w:styleId="Brandedcaptiontable">
    <w:name w:val="Branded_caption_table"/>
    <w:qFormat/>
    <w:rsid w:val="0038452F"/>
    <w:pPr>
      <w:spacing w:before="240" w:after="120" w:line="240" w:lineRule="auto"/>
    </w:pPr>
    <w:rPr>
      <w:rFonts w:ascii="Arial" w:eastAsia="Calibri" w:hAnsi="Arial" w:cs="Arial"/>
      <w:b/>
      <w:bCs/>
      <w:sz w:val="20"/>
      <w:szCs w:val="20"/>
    </w:rPr>
  </w:style>
  <w:style w:type="paragraph" w:customStyle="1" w:styleId="Brandedbody">
    <w:name w:val="Branded_body"/>
    <w:link w:val="BrandedbodyChar"/>
    <w:uiPriority w:val="99"/>
    <w:qFormat/>
    <w:rsid w:val="0001014E"/>
    <w:pPr>
      <w:spacing w:after="200" w:line="276" w:lineRule="auto"/>
    </w:pPr>
    <w:rPr>
      <w:rFonts w:ascii="Arial" w:eastAsia="Calibri" w:hAnsi="Arial" w:cs="Arial"/>
      <w:sz w:val="20"/>
    </w:rPr>
  </w:style>
  <w:style w:type="character" w:customStyle="1" w:styleId="BrandedbodyChar">
    <w:name w:val="Branded_body Char"/>
    <w:basedOn w:val="DefaultParagraphFont"/>
    <w:link w:val="Brandedbody"/>
    <w:uiPriority w:val="99"/>
    <w:rsid w:val="0001014E"/>
    <w:rPr>
      <w:rFonts w:ascii="Arial" w:eastAsia="Calibri" w:hAnsi="Arial" w:cs="Arial"/>
      <w:sz w:val="20"/>
    </w:rPr>
  </w:style>
  <w:style w:type="paragraph" w:styleId="BalloonText">
    <w:name w:val="Balloon Text"/>
    <w:basedOn w:val="Normal"/>
    <w:link w:val="BalloonTextChar"/>
    <w:uiPriority w:val="99"/>
    <w:semiHidden/>
    <w:unhideWhenUsed/>
    <w:rsid w:val="00A12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025929">
      <w:bodyDiv w:val="1"/>
      <w:marLeft w:val="0"/>
      <w:marRight w:val="0"/>
      <w:marTop w:val="0"/>
      <w:marBottom w:val="0"/>
      <w:divBdr>
        <w:top w:val="none" w:sz="0" w:space="0" w:color="auto"/>
        <w:left w:val="none" w:sz="0" w:space="0" w:color="auto"/>
        <w:bottom w:val="none" w:sz="0" w:space="0" w:color="auto"/>
        <w:right w:val="none" w:sz="0" w:space="0" w:color="auto"/>
      </w:divBdr>
      <w:divsChild>
        <w:div w:id="1836532079">
          <w:marLeft w:val="0"/>
          <w:marRight w:val="0"/>
          <w:marTop w:val="0"/>
          <w:marBottom w:val="0"/>
          <w:divBdr>
            <w:top w:val="none" w:sz="0" w:space="0" w:color="auto"/>
            <w:left w:val="none" w:sz="0" w:space="0" w:color="auto"/>
            <w:bottom w:val="none" w:sz="0" w:space="0" w:color="auto"/>
            <w:right w:val="none" w:sz="0" w:space="0" w:color="auto"/>
          </w:divBdr>
          <w:divsChild>
            <w:div w:id="641159093">
              <w:marLeft w:val="0"/>
              <w:marRight w:val="0"/>
              <w:marTop w:val="0"/>
              <w:marBottom w:val="0"/>
              <w:divBdr>
                <w:top w:val="none" w:sz="0" w:space="0" w:color="auto"/>
                <w:left w:val="none" w:sz="0" w:space="0" w:color="auto"/>
                <w:bottom w:val="none" w:sz="0" w:space="0" w:color="auto"/>
                <w:right w:val="none" w:sz="0" w:space="0" w:color="auto"/>
              </w:divBdr>
              <w:divsChild>
                <w:div w:id="2130977285">
                  <w:marLeft w:val="0"/>
                  <w:marRight w:val="0"/>
                  <w:marTop w:val="0"/>
                  <w:marBottom w:val="0"/>
                  <w:divBdr>
                    <w:top w:val="none" w:sz="0" w:space="0" w:color="auto"/>
                    <w:left w:val="none" w:sz="0" w:space="0" w:color="auto"/>
                    <w:bottom w:val="none" w:sz="0" w:space="0" w:color="auto"/>
                    <w:right w:val="none" w:sz="0" w:space="0" w:color="auto"/>
                  </w:divBdr>
                  <w:divsChild>
                    <w:div w:id="1032265523">
                      <w:marLeft w:val="0"/>
                      <w:marRight w:val="0"/>
                      <w:marTop w:val="0"/>
                      <w:marBottom w:val="0"/>
                      <w:divBdr>
                        <w:top w:val="none" w:sz="0" w:space="0" w:color="auto"/>
                        <w:left w:val="none" w:sz="0" w:space="0" w:color="auto"/>
                        <w:bottom w:val="none" w:sz="0" w:space="0" w:color="auto"/>
                        <w:right w:val="none" w:sz="0" w:space="0" w:color="auto"/>
                      </w:divBdr>
                      <w:divsChild>
                        <w:div w:id="1957640684">
                          <w:marLeft w:val="0"/>
                          <w:marRight w:val="0"/>
                          <w:marTop w:val="0"/>
                          <w:marBottom w:val="0"/>
                          <w:divBdr>
                            <w:top w:val="none" w:sz="0" w:space="0" w:color="auto"/>
                            <w:left w:val="none" w:sz="0" w:space="0" w:color="auto"/>
                            <w:bottom w:val="none" w:sz="0" w:space="0" w:color="auto"/>
                            <w:right w:val="none" w:sz="0" w:space="0" w:color="auto"/>
                          </w:divBdr>
                          <w:divsChild>
                            <w:div w:id="1005666415">
                              <w:marLeft w:val="0"/>
                              <w:marRight w:val="0"/>
                              <w:marTop w:val="0"/>
                              <w:marBottom w:val="0"/>
                              <w:divBdr>
                                <w:top w:val="none" w:sz="0" w:space="0" w:color="auto"/>
                                <w:left w:val="none" w:sz="0" w:space="0" w:color="auto"/>
                                <w:bottom w:val="none" w:sz="0" w:space="0" w:color="auto"/>
                                <w:right w:val="none" w:sz="0" w:space="0" w:color="auto"/>
                              </w:divBdr>
                            </w:div>
                            <w:div w:id="698745105">
                              <w:marLeft w:val="0"/>
                              <w:marRight w:val="0"/>
                              <w:marTop w:val="0"/>
                              <w:marBottom w:val="0"/>
                              <w:divBdr>
                                <w:top w:val="none" w:sz="0" w:space="0" w:color="auto"/>
                                <w:left w:val="none" w:sz="0" w:space="0" w:color="auto"/>
                                <w:bottom w:val="none" w:sz="0" w:space="0" w:color="auto"/>
                                <w:right w:val="none" w:sz="0" w:space="0" w:color="auto"/>
                              </w:divBdr>
                              <w:divsChild>
                                <w:div w:id="17156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erifiglobal.com/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Dindal, Amy</dc:creator>
  <cp:keywords/>
  <dc:description/>
  <cp:lastModifiedBy>DeRuzzo, Gail</cp:lastModifiedBy>
  <cp:revision>3</cp:revision>
  <dcterms:created xsi:type="dcterms:W3CDTF">2019-06-07T16:40:00Z</dcterms:created>
  <dcterms:modified xsi:type="dcterms:W3CDTF">2019-06-07T17:02:00Z</dcterms:modified>
</cp:coreProperties>
</file>